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89" w:rsidRPr="00A50774" w:rsidRDefault="00EC0789" w:rsidP="007102C6">
      <w:pPr>
        <w:spacing w:after="0"/>
        <w:jc w:val="center"/>
        <w:rPr>
          <w:b/>
          <w:sz w:val="28"/>
          <w:szCs w:val="28"/>
        </w:rPr>
      </w:pPr>
      <w:r w:rsidRPr="00A50774">
        <w:rPr>
          <w:b/>
          <w:sz w:val="28"/>
          <w:szCs w:val="28"/>
        </w:rPr>
        <w:t>2017-18 IPEDS Update</w:t>
      </w:r>
    </w:p>
    <w:p w:rsidR="00EC0789" w:rsidRPr="00A50774" w:rsidRDefault="00EC0789" w:rsidP="007102C6">
      <w:pPr>
        <w:spacing w:after="0"/>
        <w:jc w:val="center"/>
        <w:rPr>
          <w:b/>
          <w:sz w:val="28"/>
          <w:szCs w:val="28"/>
        </w:rPr>
      </w:pPr>
      <w:r w:rsidRPr="00A50774">
        <w:rPr>
          <w:b/>
          <w:sz w:val="28"/>
          <w:szCs w:val="28"/>
        </w:rPr>
        <w:t>ADHE / AIRO Conference</w:t>
      </w:r>
    </w:p>
    <w:p w:rsidR="00EC0789" w:rsidRPr="00A50774" w:rsidRDefault="00EC0789" w:rsidP="00EC0789">
      <w:pPr>
        <w:jc w:val="center"/>
        <w:rPr>
          <w:b/>
          <w:sz w:val="28"/>
          <w:szCs w:val="28"/>
        </w:rPr>
      </w:pPr>
      <w:r w:rsidRPr="00A50774">
        <w:rPr>
          <w:b/>
          <w:sz w:val="28"/>
          <w:szCs w:val="28"/>
        </w:rPr>
        <w:t>June 22, 2017</w:t>
      </w:r>
    </w:p>
    <w:p w:rsidR="009E6980" w:rsidRDefault="009E6980">
      <w:pPr>
        <w:rPr>
          <w:b/>
          <w:sz w:val="24"/>
          <w:szCs w:val="24"/>
        </w:rPr>
      </w:pPr>
    </w:p>
    <w:p w:rsidR="00C0673F" w:rsidRPr="00054C61" w:rsidRDefault="00C0673F">
      <w:pPr>
        <w:rPr>
          <w:b/>
          <w:sz w:val="24"/>
          <w:szCs w:val="24"/>
        </w:rPr>
      </w:pPr>
      <w:r w:rsidRPr="00054C61">
        <w:rPr>
          <w:b/>
          <w:sz w:val="24"/>
          <w:szCs w:val="24"/>
        </w:rPr>
        <w:t>Condensed Collection Cycle Schedule</w:t>
      </w:r>
      <w:r w:rsidR="00BF623E" w:rsidRPr="00054C61">
        <w:rPr>
          <w:b/>
          <w:sz w:val="24"/>
          <w:szCs w:val="24"/>
        </w:rPr>
        <w:t xml:space="preserve"> (</w:t>
      </w:r>
      <w:hyperlink r:id="rId7" w:history="1">
        <w:r w:rsidR="00BF623E" w:rsidRPr="00E61286">
          <w:rPr>
            <w:rStyle w:val="IntenseQuoteChar"/>
          </w:rPr>
          <w:t>https://surveys.nces.ed.gov/IPEDS</w:t>
        </w:r>
      </w:hyperlink>
      <w:r w:rsidR="00BF623E" w:rsidRPr="00054C61">
        <w:rPr>
          <w:b/>
          <w:sz w:val="24"/>
          <w:szCs w:val="24"/>
        </w:rPr>
        <w:t xml:space="preserve">) </w:t>
      </w:r>
    </w:p>
    <w:p w:rsidR="00C73B62" w:rsidRPr="00774275" w:rsidRDefault="00C73B62" w:rsidP="003D205A">
      <w:pPr>
        <w:pStyle w:val="ListParagraph"/>
        <w:numPr>
          <w:ilvl w:val="0"/>
          <w:numId w:val="4"/>
        </w:numPr>
        <w:rPr>
          <w:b/>
        </w:rPr>
      </w:pPr>
      <w:r w:rsidRPr="00774275">
        <w:rPr>
          <w:b/>
        </w:rPr>
        <w:t xml:space="preserve">Registration Opens – August </w:t>
      </w:r>
      <w:r w:rsidR="0034220A" w:rsidRPr="00774275">
        <w:rPr>
          <w:b/>
        </w:rPr>
        <w:t>9, 2017</w:t>
      </w:r>
    </w:p>
    <w:p w:rsidR="0034220A" w:rsidRPr="00774275" w:rsidRDefault="0034220A" w:rsidP="00774275">
      <w:pPr>
        <w:pStyle w:val="ListParagraph"/>
        <w:numPr>
          <w:ilvl w:val="1"/>
          <w:numId w:val="4"/>
        </w:numPr>
      </w:pPr>
      <w:r w:rsidRPr="00774275">
        <w:t>Reg</w:t>
      </w:r>
      <w:r w:rsidR="002A43E4" w:rsidRPr="00774275">
        <w:t>ister by Date – August 30, 2017</w:t>
      </w:r>
    </w:p>
    <w:p w:rsidR="00A85C88" w:rsidRPr="00F60F48" w:rsidRDefault="00C0673F" w:rsidP="003D205A">
      <w:pPr>
        <w:pStyle w:val="ListParagraph"/>
        <w:numPr>
          <w:ilvl w:val="0"/>
          <w:numId w:val="4"/>
        </w:numPr>
        <w:rPr>
          <w:b/>
        </w:rPr>
      </w:pPr>
      <w:r w:rsidRPr="00F60F48">
        <w:rPr>
          <w:b/>
        </w:rPr>
        <w:t xml:space="preserve">Fall </w:t>
      </w:r>
      <w:r w:rsidR="002A43E4" w:rsidRPr="00F60F48">
        <w:rPr>
          <w:b/>
        </w:rPr>
        <w:t xml:space="preserve">Collection Opens – September </w:t>
      </w:r>
      <w:r w:rsidR="00A85C88" w:rsidRPr="00F60F48">
        <w:rPr>
          <w:b/>
        </w:rPr>
        <w:t>6, 2017</w:t>
      </w:r>
    </w:p>
    <w:p w:rsidR="002A43E4" w:rsidRPr="00F60F48" w:rsidRDefault="002A43E4" w:rsidP="003D205A">
      <w:pPr>
        <w:pStyle w:val="ListParagraph"/>
        <w:numPr>
          <w:ilvl w:val="1"/>
          <w:numId w:val="4"/>
        </w:numPr>
      </w:pPr>
      <w:r w:rsidRPr="00F60F48">
        <w:t>Closes – October 18, 2017</w:t>
      </w:r>
    </w:p>
    <w:p w:rsidR="00A85C88" w:rsidRPr="00F60F48" w:rsidRDefault="002A43E4" w:rsidP="003D205A">
      <w:pPr>
        <w:pStyle w:val="ListParagraph"/>
        <w:numPr>
          <w:ilvl w:val="0"/>
          <w:numId w:val="4"/>
        </w:numPr>
        <w:rPr>
          <w:b/>
        </w:rPr>
      </w:pPr>
      <w:r w:rsidRPr="00F60F48">
        <w:rPr>
          <w:b/>
        </w:rPr>
        <w:t xml:space="preserve">Winter Collection Opens – December </w:t>
      </w:r>
      <w:r w:rsidR="00A85C88" w:rsidRPr="00F60F48">
        <w:rPr>
          <w:b/>
        </w:rPr>
        <w:t>13, 2017</w:t>
      </w:r>
    </w:p>
    <w:p w:rsidR="002A43E4" w:rsidRPr="00F60F48" w:rsidRDefault="002A43E4" w:rsidP="003D205A">
      <w:pPr>
        <w:pStyle w:val="ListParagraph"/>
        <w:numPr>
          <w:ilvl w:val="1"/>
          <w:numId w:val="4"/>
        </w:numPr>
      </w:pPr>
      <w:r w:rsidRPr="00F60F48">
        <w:t>Closes – February 14, 2018</w:t>
      </w:r>
    </w:p>
    <w:p w:rsidR="00A85C88" w:rsidRPr="00F60F48" w:rsidRDefault="00F0470A" w:rsidP="003D205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Spring</w:t>
      </w:r>
      <w:r w:rsidR="002A43E4" w:rsidRPr="00F60F48">
        <w:rPr>
          <w:b/>
        </w:rPr>
        <w:t xml:space="preserve"> Collection Opens – December </w:t>
      </w:r>
      <w:r w:rsidR="00A85C88" w:rsidRPr="00F60F48">
        <w:rPr>
          <w:b/>
        </w:rPr>
        <w:t>13, 2017</w:t>
      </w:r>
    </w:p>
    <w:p w:rsidR="002A43E4" w:rsidRDefault="002A43E4" w:rsidP="003D205A">
      <w:pPr>
        <w:pStyle w:val="ListParagraph"/>
        <w:numPr>
          <w:ilvl w:val="1"/>
          <w:numId w:val="4"/>
        </w:numPr>
      </w:pPr>
      <w:r w:rsidRPr="00F60F48">
        <w:t xml:space="preserve">Closes – </w:t>
      </w:r>
      <w:r w:rsidR="00C0673F" w:rsidRPr="00F60F48">
        <w:t>April 11</w:t>
      </w:r>
      <w:r w:rsidRPr="00F60F48">
        <w:t>, 2018</w:t>
      </w:r>
    </w:p>
    <w:p w:rsidR="00792D11" w:rsidRDefault="00792D11" w:rsidP="00792D11"/>
    <w:p w:rsidR="00C73B62" w:rsidRPr="007712D3" w:rsidRDefault="00A85C88" w:rsidP="00C73B62">
      <w:r w:rsidRPr="007712D3">
        <w:rPr>
          <w:b/>
        </w:rPr>
        <w:t>Prior Year Revision (PYR) System</w:t>
      </w:r>
      <w:r w:rsidRPr="007712D3">
        <w:t xml:space="preserve"> - </w:t>
      </w:r>
      <w:hyperlink r:id="rId8" w:history="1">
        <w:r w:rsidR="00C72A79" w:rsidRPr="00E61286">
          <w:rPr>
            <w:rStyle w:val="IntenseEmphasis"/>
          </w:rPr>
          <w:t>https://surveys.nces.ed.gov/IPEDS_py</w:t>
        </w:r>
      </w:hyperlink>
      <w:r w:rsidR="00C72A79" w:rsidRPr="00775CFC">
        <w:rPr>
          <w:rStyle w:val="IntenseReference"/>
        </w:rPr>
        <w:t xml:space="preserve"> </w:t>
      </w:r>
      <w:r w:rsidR="00C72A79" w:rsidRPr="007712D3">
        <w:t>opens during regular data collection period, except Fall Collection opens 9/13 instead of 9/6</w:t>
      </w:r>
      <w:r w:rsidR="00E80A47" w:rsidRPr="007712D3">
        <w:t>.</w:t>
      </w:r>
    </w:p>
    <w:p w:rsidR="003D0BF3" w:rsidRPr="007712D3" w:rsidRDefault="00E61286" w:rsidP="000F35A9">
      <w:pPr>
        <w:numPr>
          <w:ilvl w:val="0"/>
          <w:numId w:val="1"/>
        </w:numPr>
      </w:pPr>
      <w:r w:rsidRPr="007712D3">
        <w:t>Revise cost of attendance data on IC or any SFA data through current year SFA, NOT in PYR</w:t>
      </w:r>
      <w:r w:rsidR="00E80A47" w:rsidRPr="007712D3">
        <w:t>.</w:t>
      </w:r>
    </w:p>
    <w:p w:rsidR="00792D11" w:rsidRDefault="00792D11" w:rsidP="00DF4034">
      <w:pPr>
        <w:rPr>
          <w:b/>
        </w:rPr>
      </w:pPr>
    </w:p>
    <w:p w:rsidR="003D0BF3" w:rsidRDefault="00E61286" w:rsidP="00DF4034">
      <w:pPr>
        <w:rPr>
          <w:b/>
        </w:rPr>
      </w:pPr>
      <w:r w:rsidRPr="007712D3">
        <w:rPr>
          <w:b/>
        </w:rPr>
        <w:t>Upload Custom Comparison Group for 2015 Data Feedback Report</w:t>
      </w:r>
      <w:r w:rsidR="00DF4034" w:rsidRPr="007712D3">
        <w:rPr>
          <w:b/>
        </w:rPr>
        <w:t xml:space="preserve"> (</w:t>
      </w:r>
      <w:r w:rsidRPr="007712D3">
        <w:rPr>
          <w:b/>
        </w:rPr>
        <w:t>2/1/18 – 7/14/18</w:t>
      </w:r>
      <w:r w:rsidR="00DF4034" w:rsidRPr="007712D3">
        <w:rPr>
          <w:b/>
        </w:rPr>
        <w:t>)</w:t>
      </w:r>
      <w:r w:rsidR="00E80A47" w:rsidRPr="007712D3">
        <w:rPr>
          <w:b/>
        </w:rPr>
        <w:t>.</w:t>
      </w:r>
    </w:p>
    <w:p w:rsidR="005C7213" w:rsidRDefault="005C7213" w:rsidP="00DF4034">
      <w:pPr>
        <w:rPr>
          <w:b/>
        </w:rPr>
      </w:pPr>
    </w:p>
    <w:p w:rsidR="005C7213" w:rsidRDefault="005C7213" w:rsidP="00DF4034">
      <w:pPr>
        <w:rPr>
          <w:b/>
        </w:rPr>
      </w:pPr>
      <w:r w:rsidRPr="00792D11">
        <w:rPr>
          <w:b/>
          <w:highlight w:val="yellow"/>
        </w:rPr>
        <w:t>It is no longer necessary to email a PDF copy of the IPEDS surveys to ADHE.</w:t>
      </w:r>
    </w:p>
    <w:p w:rsidR="00164379" w:rsidRDefault="00164379" w:rsidP="00DF4034">
      <w:pPr>
        <w:rPr>
          <w:b/>
        </w:rPr>
      </w:pPr>
    </w:p>
    <w:p w:rsidR="00A10E22" w:rsidRDefault="00A10E22" w:rsidP="00DF4034">
      <w:pPr>
        <w:rPr>
          <w:b/>
        </w:rPr>
      </w:pPr>
      <w:r w:rsidRPr="00792D11">
        <w:rPr>
          <w:b/>
          <w:highlight w:val="yellow"/>
        </w:rPr>
        <w:t>Caveats and Edits comments:  Please, please, please keep your responses “professional”</w:t>
      </w:r>
      <w:r w:rsidR="00164379" w:rsidRPr="00792D11">
        <w:rPr>
          <w:b/>
          <w:highlight w:val="yellow"/>
        </w:rPr>
        <w:t xml:space="preserve">. The comments </w:t>
      </w:r>
      <w:proofErr w:type="gramStart"/>
      <w:r w:rsidR="00E50D30">
        <w:rPr>
          <w:b/>
          <w:highlight w:val="yellow"/>
        </w:rPr>
        <w:t>ARE</w:t>
      </w:r>
      <w:r w:rsidR="00164379" w:rsidRPr="00792D11">
        <w:rPr>
          <w:b/>
          <w:highlight w:val="yellow"/>
        </w:rPr>
        <w:t xml:space="preserve"> posted</w:t>
      </w:r>
      <w:proofErr w:type="gramEnd"/>
      <w:r w:rsidR="00164379" w:rsidRPr="00792D11">
        <w:rPr>
          <w:b/>
          <w:highlight w:val="yellow"/>
        </w:rPr>
        <w:t xml:space="preserve"> on the IPEDS website. A potential student or their parent may be offended or shocked by inappropriate comments and choose a different institution.</w:t>
      </w:r>
    </w:p>
    <w:p w:rsidR="00164379" w:rsidRDefault="00164379" w:rsidP="00DF4034">
      <w:pPr>
        <w:rPr>
          <w:b/>
        </w:rPr>
      </w:pPr>
    </w:p>
    <w:p w:rsidR="00792D11" w:rsidRDefault="00792D11" w:rsidP="00DF4034">
      <w:pPr>
        <w:rPr>
          <w:b/>
        </w:rPr>
      </w:pPr>
      <w:r>
        <w:rPr>
          <w:b/>
        </w:rPr>
        <w:br/>
      </w:r>
    </w:p>
    <w:p w:rsidR="00792D11" w:rsidRDefault="00792D11">
      <w:pPr>
        <w:rPr>
          <w:b/>
        </w:rPr>
      </w:pPr>
      <w:r>
        <w:rPr>
          <w:b/>
        </w:rPr>
        <w:br w:type="page"/>
      </w:r>
    </w:p>
    <w:p w:rsidR="005C7213" w:rsidRDefault="00840FE0" w:rsidP="00DF4034">
      <w:pPr>
        <w:rPr>
          <w:b/>
        </w:rPr>
      </w:pPr>
      <w:r>
        <w:rPr>
          <w:b/>
        </w:rPr>
        <w:t xml:space="preserve">Online </w:t>
      </w:r>
      <w:proofErr w:type="spellStart"/>
      <w:r>
        <w:rPr>
          <w:b/>
        </w:rPr>
        <w:t>Keyholder</w:t>
      </w:r>
      <w:proofErr w:type="spellEnd"/>
      <w:r>
        <w:rPr>
          <w:b/>
        </w:rPr>
        <w:t xml:space="preserve"> Training (information and registration):</w:t>
      </w:r>
    </w:p>
    <w:p w:rsidR="00840FE0" w:rsidRDefault="00840FE0" w:rsidP="00E42BC9">
      <w:pPr>
        <w:ind w:left="720"/>
        <w:rPr>
          <w:b/>
        </w:rPr>
      </w:pPr>
      <w:hyperlink r:id="rId9" w:history="1">
        <w:r w:rsidRPr="00755C04">
          <w:rPr>
            <w:rStyle w:val="Hyperlink"/>
            <w:b/>
          </w:rPr>
          <w:t>https://www.airweb.org</w:t>
        </w:r>
      </w:hyperlink>
      <w:r>
        <w:rPr>
          <w:b/>
        </w:rPr>
        <w:t xml:space="preserve"> – click on “Education” and then “Online </w:t>
      </w:r>
      <w:proofErr w:type="spellStart"/>
      <w:r>
        <w:rPr>
          <w:b/>
        </w:rPr>
        <w:t>Keyholder</w:t>
      </w:r>
      <w:proofErr w:type="spellEnd"/>
      <w:r>
        <w:rPr>
          <w:b/>
        </w:rPr>
        <w:t xml:space="preserve"> Courses”</w:t>
      </w:r>
    </w:p>
    <w:p w:rsidR="00840FE0" w:rsidRDefault="00840FE0" w:rsidP="00E42BC9">
      <w:pPr>
        <w:ind w:left="720"/>
        <w:rPr>
          <w:b/>
        </w:rPr>
      </w:pPr>
      <w:r>
        <w:rPr>
          <w:b/>
        </w:rPr>
        <w:t xml:space="preserve">Direct link:  </w:t>
      </w:r>
      <w:hyperlink r:id="rId10" w:history="1">
        <w:r w:rsidR="00E42BC9" w:rsidRPr="00755C04">
          <w:rPr>
            <w:rStyle w:val="Hyperlink"/>
            <w:b/>
          </w:rPr>
          <w:t>https://www.airweb.org/EducationAndEvents/IPEDSTraining/Pages/IPEDS-Online-Courses.aspx</w:t>
        </w:r>
      </w:hyperlink>
      <w:r w:rsidR="00E42BC9">
        <w:rPr>
          <w:b/>
        </w:rPr>
        <w:t xml:space="preserve"> </w:t>
      </w:r>
    </w:p>
    <w:p w:rsidR="00064FBD" w:rsidRPr="007712D3" w:rsidRDefault="00064FBD" w:rsidP="00E42BC9">
      <w:pPr>
        <w:ind w:left="720"/>
        <w:rPr>
          <w:b/>
        </w:rPr>
      </w:pPr>
      <w:r>
        <w:rPr>
          <w:b/>
        </w:rPr>
        <w:t xml:space="preserve">Registration opens on August </w:t>
      </w:r>
      <w:proofErr w:type="gramStart"/>
      <w:r>
        <w:rPr>
          <w:b/>
        </w:rPr>
        <w:t>15</w:t>
      </w:r>
      <w:r w:rsidRPr="00064FBD">
        <w:rPr>
          <w:b/>
          <w:vertAlign w:val="superscript"/>
        </w:rPr>
        <w:t>th</w:t>
      </w:r>
      <w:proofErr w:type="gramEnd"/>
      <w:r>
        <w:rPr>
          <w:b/>
        </w:rPr>
        <w:t xml:space="preserve"> for both the “IPEDS </w:t>
      </w:r>
      <w:proofErr w:type="spellStart"/>
      <w:r>
        <w:rPr>
          <w:b/>
        </w:rPr>
        <w:t>Keyholder</w:t>
      </w:r>
      <w:proofErr w:type="spellEnd"/>
      <w:r>
        <w:rPr>
          <w:b/>
        </w:rPr>
        <w:t xml:space="preserve"> Essentials: A Beginner’s Guide</w:t>
      </w:r>
      <w:r w:rsidR="006B646E">
        <w:rPr>
          <w:b/>
        </w:rPr>
        <w:t xml:space="preserve">” for new </w:t>
      </w:r>
      <w:proofErr w:type="spellStart"/>
      <w:r w:rsidR="006B646E">
        <w:rPr>
          <w:b/>
        </w:rPr>
        <w:t>keyholders</w:t>
      </w:r>
      <w:proofErr w:type="spellEnd"/>
      <w:r w:rsidR="006B646E">
        <w:rPr>
          <w:b/>
        </w:rPr>
        <w:t xml:space="preserve"> (less than 9 months)</w:t>
      </w:r>
      <w:r>
        <w:rPr>
          <w:b/>
        </w:rPr>
        <w:t xml:space="preserve"> and the “IPEDS </w:t>
      </w:r>
      <w:proofErr w:type="spellStart"/>
      <w:r>
        <w:rPr>
          <w:b/>
        </w:rPr>
        <w:t>Keyholder</w:t>
      </w:r>
      <w:proofErr w:type="spellEnd"/>
      <w:r>
        <w:rPr>
          <w:b/>
        </w:rPr>
        <w:t xml:space="preserve"> Efficiencies: Reducing the Reporting Burden”</w:t>
      </w:r>
      <w:r w:rsidR="006B646E">
        <w:rPr>
          <w:b/>
        </w:rPr>
        <w:t xml:space="preserve"> for experienced </w:t>
      </w:r>
      <w:proofErr w:type="spellStart"/>
      <w:r w:rsidR="006B646E">
        <w:rPr>
          <w:b/>
        </w:rPr>
        <w:t>keyholders</w:t>
      </w:r>
      <w:proofErr w:type="spellEnd"/>
      <w:r w:rsidR="006B646E">
        <w:rPr>
          <w:b/>
        </w:rPr>
        <w:t xml:space="preserve"> (10 – 24 months).</w:t>
      </w:r>
      <w:r w:rsidR="00505C55">
        <w:rPr>
          <w:b/>
        </w:rPr>
        <w:t xml:space="preserve"> Both </w:t>
      </w:r>
      <w:r w:rsidR="0063546E">
        <w:rPr>
          <w:b/>
        </w:rPr>
        <w:t xml:space="preserve">self-paced </w:t>
      </w:r>
      <w:r w:rsidR="00505C55">
        <w:rPr>
          <w:b/>
        </w:rPr>
        <w:t xml:space="preserve">courses </w:t>
      </w:r>
      <w:proofErr w:type="gramStart"/>
      <w:r w:rsidR="00505C55">
        <w:rPr>
          <w:b/>
        </w:rPr>
        <w:t>are held</w:t>
      </w:r>
      <w:proofErr w:type="gramEnd"/>
      <w:r w:rsidR="00505C55">
        <w:rPr>
          <w:b/>
        </w:rPr>
        <w:t xml:space="preserve"> during the month of September 2017. </w:t>
      </w:r>
      <w:r w:rsidR="0063546E">
        <w:rPr>
          <w:b/>
        </w:rPr>
        <w:t xml:space="preserve">They </w:t>
      </w:r>
      <w:r w:rsidR="00BD4DA1">
        <w:rPr>
          <w:b/>
        </w:rPr>
        <w:t>ARE</w:t>
      </w:r>
      <w:r w:rsidR="0063546E">
        <w:rPr>
          <w:b/>
        </w:rPr>
        <w:t xml:space="preserve"> self-paced, BUT, must </w:t>
      </w:r>
      <w:r w:rsidR="00BD4DA1">
        <w:rPr>
          <w:b/>
        </w:rPr>
        <w:t xml:space="preserve">be </w:t>
      </w:r>
      <w:r w:rsidR="0063546E">
        <w:rPr>
          <w:b/>
        </w:rPr>
        <w:t>complete</w:t>
      </w:r>
      <w:r w:rsidR="00BD4DA1">
        <w:rPr>
          <w:b/>
        </w:rPr>
        <w:t>d</w:t>
      </w:r>
      <w:r w:rsidR="0063546E">
        <w:rPr>
          <w:b/>
        </w:rPr>
        <w:t xml:space="preserve"> the course during th</w:t>
      </w:r>
      <w:r w:rsidR="00BD4DA1">
        <w:rPr>
          <w:b/>
        </w:rPr>
        <w:t>e month of September 2017. You</w:t>
      </w:r>
      <w:r w:rsidR="00505C55">
        <w:rPr>
          <w:b/>
        </w:rPr>
        <w:t xml:space="preserve"> may only enroll in ONE course at a time.</w:t>
      </w:r>
    </w:p>
    <w:p w:rsidR="00792D11" w:rsidRDefault="00792D11" w:rsidP="008C3933">
      <w:pPr>
        <w:jc w:val="center"/>
        <w:rPr>
          <w:b/>
        </w:rPr>
      </w:pPr>
    </w:p>
    <w:p w:rsidR="00792D11" w:rsidRDefault="00792D11" w:rsidP="008C3933">
      <w:pPr>
        <w:jc w:val="center"/>
        <w:rPr>
          <w:b/>
        </w:rPr>
      </w:pPr>
    </w:p>
    <w:p w:rsidR="00A73058" w:rsidRPr="007712D3" w:rsidRDefault="00A73058" w:rsidP="008C3933">
      <w:pPr>
        <w:jc w:val="center"/>
        <w:rPr>
          <w:b/>
        </w:rPr>
      </w:pPr>
      <w:r w:rsidRPr="007712D3">
        <w:rPr>
          <w:b/>
        </w:rPr>
        <w:t>Unknown / Unreported Gender</w:t>
      </w:r>
    </w:p>
    <w:p w:rsidR="00A73058" w:rsidRPr="007712D3" w:rsidRDefault="00A73058" w:rsidP="00A73058">
      <w:pPr>
        <w:ind w:left="720"/>
      </w:pPr>
      <w:r w:rsidRPr="007712D3">
        <w:t xml:space="preserve">These individuals are still to </w:t>
      </w:r>
      <w:proofErr w:type="gramStart"/>
      <w:r w:rsidRPr="007712D3">
        <w:t>be reported</w:t>
      </w:r>
      <w:proofErr w:type="gramEnd"/>
      <w:r w:rsidRPr="007712D3">
        <w:t xml:space="preserve"> to IPEDS, even though their gender is unknown. It is up to the institution to decide how best to handle reporting individuals whose gender is unknown. However, a common method used is to allocate students with gender unknown based on the known proportion of men to women.</w:t>
      </w:r>
    </w:p>
    <w:p w:rsidR="009E1760" w:rsidRPr="007712D3" w:rsidRDefault="001A3C51" w:rsidP="00A73058">
      <w:pPr>
        <w:ind w:left="720"/>
      </w:pPr>
      <w:r w:rsidRPr="007712D3">
        <w:t>Example for Clarification – using</w:t>
      </w:r>
      <w:r w:rsidR="00F23936" w:rsidRPr="007712D3">
        <w:t xml:space="preserve"> a weighted average</w:t>
      </w:r>
      <w:r w:rsidRPr="007712D3">
        <w:t>:</w:t>
      </w:r>
      <w:r w:rsidR="00F23936" w:rsidRPr="007712D3">
        <w:t xml:space="preserve"> </w:t>
      </w:r>
      <w:r w:rsidRPr="007712D3">
        <w:t xml:space="preserve"> </w:t>
      </w:r>
      <w:r w:rsidR="00F23936" w:rsidRPr="007712D3">
        <w:t>If your institution is 25% male and 75% female</w:t>
      </w:r>
      <w:r w:rsidR="001A2604" w:rsidRPr="007712D3">
        <w:t>,</w:t>
      </w:r>
      <w:r w:rsidR="00F23936" w:rsidRPr="007712D3">
        <w:t xml:space="preserve"> and you have 100 students with an “unknown or unreported” gender, report 25% (or 25 of them) as </w:t>
      </w:r>
      <w:r w:rsidRPr="007712D3">
        <w:t>male, and the other 75% (or 75 of them as female).</w:t>
      </w:r>
    </w:p>
    <w:p w:rsidR="009E1760" w:rsidRPr="008E3128" w:rsidRDefault="009E1760" w:rsidP="008E3128">
      <w:pPr>
        <w:spacing w:after="0"/>
        <w:ind w:left="720"/>
        <w:rPr>
          <w:b/>
        </w:rPr>
      </w:pPr>
      <w:r w:rsidRPr="008E3128">
        <w:rPr>
          <w:b/>
        </w:rPr>
        <w:t>To determine the percentages for your campus use the following:</w:t>
      </w:r>
    </w:p>
    <w:tbl>
      <w:tblPr>
        <w:tblW w:w="6360" w:type="dxa"/>
        <w:tblInd w:w="1332" w:type="dxa"/>
        <w:tblLook w:val="04A0" w:firstRow="1" w:lastRow="0" w:firstColumn="1" w:lastColumn="0" w:noHBand="0" w:noVBand="1"/>
      </w:tblPr>
      <w:tblGrid>
        <w:gridCol w:w="2262"/>
        <w:gridCol w:w="331"/>
        <w:gridCol w:w="3767"/>
      </w:tblGrid>
      <w:tr w:rsidR="00AE717B" w:rsidRPr="00AE717B" w:rsidTr="00AE717B">
        <w:trPr>
          <w:trHeight w:val="690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17B" w:rsidRPr="00AE717B" w:rsidRDefault="00AE717B" w:rsidP="00AE7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AE71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Add the result of this calculation to the number of Male students that you report to IPEDS:</w:t>
            </w:r>
          </w:p>
        </w:tc>
      </w:tr>
      <w:tr w:rsidR="00AE717B" w:rsidRPr="00AE717B" w:rsidTr="00AE717B">
        <w:trPr>
          <w:trHeight w:val="75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17B" w:rsidRPr="00AE717B" w:rsidRDefault="00AE717B" w:rsidP="00AE7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E717B" w:rsidRPr="00AE717B" w:rsidTr="00AE717B">
        <w:trPr>
          <w:trHeight w:val="300"/>
        </w:trPr>
        <w:tc>
          <w:tcPr>
            <w:tcW w:w="22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17B" w:rsidRPr="00AE717B" w:rsidRDefault="00AE717B" w:rsidP="00AE7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717B">
              <w:rPr>
                <w:rFonts w:ascii="Calibri" w:eastAsia="Times New Roman" w:hAnsi="Calibri" w:cs="Times New Roman"/>
                <w:color w:val="000000"/>
                <w:u w:val="single"/>
              </w:rPr>
              <w:t># of Male Students</w:t>
            </w:r>
            <w:r w:rsidRPr="00AE717B">
              <w:rPr>
                <w:rFonts w:ascii="Calibri" w:eastAsia="Times New Roman" w:hAnsi="Calibri" w:cs="Times New Roman"/>
                <w:color w:val="000000"/>
              </w:rPr>
              <w:br/>
              <w:t>Total # of Students</w:t>
            </w:r>
          </w:p>
        </w:tc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17B" w:rsidRPr="00AE717B" w:rsidRDefault="00AE717B" w:rsidP="00AE7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717B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7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17B" w:rsidRPr="00AE717B" w:rsidRDefault="00AE717B" w:rsidP="00AE7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717B">
              <w:rPr>
                <w:rFonts w:ascii="Calibri" w:eastAsia="Times New Roman" w:hAnsi="Calibri" w:cs="Times New Roman"/>
                <w:color w:val="000000"/>
              </w:rPr>
              <w:t># of students with unknown or unreported gender</w:t>
            </w:r>
          </w:p>
        </w:tc>
      </w:tr>
      <w:tr w:rsidR="00AE717B" w:rsidRPr="00AE717B" w:rsidTr="00AE717B">
        <w:trPr>
          <w:trHeight w:val="450"/>
        </w:trPr>
        <w:tc>
          <w:tcPr>
            <w:tcW w:w="2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17B" w:rsidRPr="00AE717B" w:rsidRDefault="00AE717B" w:rsidP="00AE7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17B" w:rsidRPr="00AE717B" w:rsidRDefault="00AE717B" w:rsidP="00AE7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17B" w:rsidRPr="00AE717B" w:rsidRDefault="00AE717B" w:rsidP="00AE7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717B" w:rsidRPr="00AE717B" w:rsidTr="00AE717B">
        <w:trPr>
          <w:trHeight w:val="75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17B" w:rsidRPr="00AE717B" w:rsidRDefault="00AE717B" w:rsidP="00AE7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717B" w:rsidRPr="00AE717B" w:rsidTr="00AE717B">
        <w:trPr>
          <w:trHeight w:val="660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128" w:rsidRPr="00AE717B" w:rsidRDefault="00AE717B" w:rsidP="00AE7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AE71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By default, the remaining "unknown or unreported" students will be female.</w:t>
            </w:r>
          </w:p>
        </w:tc>
      </w:tr>
    </w:tbl>
    <w:p w:rsidR="00C97868" w:rsidRDefault="00C97868" w:rsidP="00A73058">
      <w:pPr>
        <w:ind w:left="720"/>
        <w:rPr>
          <w:sz w:val="24"/>
          <w:szCs w:val="24"/>
        </w:rPr>
      </w:pPr>
    </w:p>
    <w:p w:rsidR="001C6500" w:rsidRPr="008E3128" w:rsidRDefault="007712D3" w:rsidP="00A73058">
      <w:pPr>
        <w:ind w:left="720"/>
        <w:rPr>
          <w:b/>
          <w:sz w:val="24"/>
          <w:szCs w:val="24"/>
        </w:rPr>
      </w:pPr>
      <w:r w:rsidRPr="008E3128">
        <w:rPr>
          <w:sz w:val="24"/>
          <w:szCs w:val="24"/>
        </w:rPr>
        <w:t>For a full disc</w:t>
      </w:r>
      <w:r w:rsidR="007102C6" w:rsidRPr="008E3128">
        <w:rPr>
          <w:sz w:val="24"/>
          <w:szCs w:val="24"/>
        </w:rPr>
        <w:t xml:space="preserve">ussion of </w:t>
      </w:r>
      <w:r w:rsidR="008E3128">
        <w:rPr>
          <w:sz w:val="24"/>
          <w:szCs w:val="24"/>
        </w:rPr>
        <w:t xml:space="preserve">sex versus gender, </w:t>
      </w:r>
      <w:r w:rsidR="00DF3330">
        <w:rPr>
          <w:sz w:val="24"/>
          <w:szCs w:val="24"/>
        </w:rPr>
        <w:t xml:space="preserve">purpose / intent, and </w:t>
      </w:r>
      <w:r w:rsidR="007102C6" w:rsidRPr="008E3128">
        <w:rPr>
          <w:sz w:val="24"/>
          <w:szCs w:val="24"/>
        </w:rPr>
        <w:t xml:space="preserve">reporting unknown/unreported gender, see Technical Review Panel 51 (TRP51): </w:t>
      </w:r>
      <w:hyperlink r:id="rId11" w:history="1">
        <w:r w:rsidR="00C97868" w:rsidRPr="00E61286">
          <w:rPr>
            <w:rStyle w:val="IntenseEmphasis"/>
          </w:rPr>
          <w:t>https://edsurveys.rti.org/IPEDS_TRP_DOCS/prod/documents/TRP51_Summary.pdf</w:t>
        </w:r>
      </w:hyperlink>
      <w:r w:rsidR="00C97868">
        <w:rPr>
          <w:sz w:val="24"/>
          <w:szCs w:val="24"/>
        </w:rPr>
        <w:tab/>
      </w:r>
      <w:r w:rsidR="001C6500" w:rsidRPr="008E3128">
        <w:rPr>
          <w:b/>
          <w:sz w:val="24"/>
          <w:szCs w:val="24"/>
        </w:rPr>
        <w:br w:type="page"/>
      </w:r>
    </w:p>
    <w:p w:rsidR="00CF45F3" w:rsidRPr="00CF45F3" w:rsidRDefault="00DF4034" w:rsidP="00CF45F3">
      <w:pPr>
        <w:jc w:val="center"/>
        <w:rPr>
          <w:b/>
          <w:sz w:val="24"/>
          <w:szCs w:val="24"/>
        </w:rPr>
      </w:pPr>
      <w:r w:rsidRPr="00CF45F3">
        <w:rPr>
          <w:b/>
          <w:sz w:val="24"/>
          <w:szCs w:val="24"/>
        </w:rPr>
        <w:lastRenderedPageBreak/>
        <w:t>2017-18 Changes</w:t>
      </w:r>
      <w:r w:rsidR="00BB5487" w:rsidRPr="00CF45F3">
        <w:rPr>
          <w:b/>
          <w:sz w:val="24"/>
          <w:szCs w:val="24"/>
        </w:rPr>
        <w:t xml:space="preserve"> to Collections</w:t>
      </w:r>
    </w:p>
    <w:p w:rsidR="00DF4034" w:rsidRDefault="00CF1CFD" w:rsidP="00CF45F3">
      <w:pPr>
        <w:jc w:val="center"/>
        <w:rPr>
          <w:b/>
          <w:sz w:val="24"/>
          <w:szCs w:val="24"/>
        </w:rPr>
      </w:pPr>
      <w:r w:rsidRPr="00CF45F3">
        <w:rPr>
          <w:b/>
          <w:sz w:val="24"/>
          <w:szCs w:val="24"/>
        </w:rPr>
        <w:t>(</w:t>
      </w:r>
      <w:r w:rsidR="00700F2D">
        <w:rPr>
          <w:b/>
          <w:sz w:val="24"/>
          <w:szCs w:val="24"/>
        </w:rPr>
        <w:t xml:space="preserve">Compiled from IPEDS State Data Conference Presentation; </w:t>
      </w:r>
      <w:r w:rsidRPr="00CF45F3">
        <w:rPr>
          <w:b/>
          <w:sz w:val="24"/>
          <w:szCs w:val="24"/>
        </w:rPr>
        <w:t xml:space="preserve">conflicts </w:t>
      </w:r>
      <w:proofErr w:type="gramStart"/>
      <w:r w:rsidRPr="00CF45F3">
        <w:rPr>
          <w:b/>
          <w:sz w:val="24"/>
          <w:szCs w:val="24"/>
        </w:rPr>
        <w:t>shall be governed</w:t>
      </w:r>
      <w:proofErr w:type="gramEnd"/>
      <w:r w:rsidRPr="00CF45F3">
        <w:rPr>
          <w:b/>
          <w:sz w:val="24"/>
          <w:szCs w:val="24"/>
        </w:rPr>
        <w:t xml:space="preserve"> by the official document on the IPEDS website: </w:t>
      </w:r>
      <w:hyperlink r:id="rId12" w:history="1">
        <w:r w:rsidRPr="00E61286">
          <w:rPr>
            <w:rStyle w:val="IntenseEmphasis"/>
          </w:rPr>
          <w:t>https://surveys.nces.ed.gov/ipeds/ViewContent.aspx?contentId=17</w:t>
        </w:r>
      </w:hyperlink>
      <w:r w:rsidRPr="00E61286">
        <w:rPr>
          <w:rStyle w:val="IntenseEmphasis"/>
        </w:rPr>
        <w:t>)</w:t>
      </w:r>
    </w:p>
    <w:p w:rsidR="00700F2D" w:rsidRPr="00CF45F3" w:rsidRDefault="00700F2D" w:rsidP="00CF45F3">
      <w:pPr>
        <w:jc w:val="center"/>
        <w:rPr>
          <w:b/>
          <w:sz w:val="24"/>
          <w:szCs w:val="24"/>
        </w:rPr>
      </w:pPr>
    </w:p>
    <w:p w:rsidR="00DF4034" w:rsidRDefault="00B11FE6" w:rsidP="003E49E3">
      <w:pPr>
        <w:pStyle w:val="ListParagraph"/>
        <w:numPr>
          <w:ilvl w:val="0"/>
          <w:numId w:val="3"/>
        </w:numPr>
        <w:spacing w:after="0"/>
      </w:pPr>
      <w:r w:rsidRPr="00B11FE6">
        <w:rPr>
          <w:b/>
        </w:rPr>
        <w:t xml:space="preserve">Institutional </w:t>
      </w:r>
      <w:r w:rsidR="00296BA0" w:rsidRPr="00B11FE6">
        <w:rPr>
          <w:b/>
        </w:rPr>
        <w:t>Characteristics (IC) – Part C – Student Services:</w:t>
      </w:r>
      <w:r w:rsidR="00296BA0">
        <w:t xml:space="preserve">  </w:t>
      </w:r>
      <w:r w:rsidR="00296BA0" w:rsidRPr="00296BA0">
        <w:t>Combine the distance education questions on courses and programs into one</w:t>
      </w:r>
      <w:r w:rsidR="00E80A47">
        <w:t>.</w:t>
      </w:r>
    </w:p>
    <w:p w:rsidR="00296BA0" w:rsidRDefault="00296BA0" w:rsidP="00700F2D">
      <w:pPr>
        <w:pStyle w:val="ListParagraph"/>
        <w:numPr>
          <w:ilvl w:val="0"/>
          <w:numId w:val="3"/>
        </w:numPr>
        <w:spacing w:before="240"/>
      </w:pPr>
      <w:r w:rsidRPr="00B11FE6">
        <w:rPr>
          <w:b/>
        </w:rPr>
        <w:t>Outcome Measures (OM)</w:t>
      </w:r>
      <w:r>
        <w:t xml:space="preserve"> </w:t>
      </w:r>
      <w:r w:rsidR="00BF461A">
        <w:t>–</w:t>
      </w:r>
      <w:r>
        <w:t xml:space="preserve"> </w:t>
      </w:r>
      <w:r w:rsidR="00BF461A">
        <w:t>PELL sub-cohort has been added; entering cohort year 2009</w:t>
      </w:r>
    </w:p>
    <w:p w:rsidR="00BF461A" w:rsidRDefault="00A843F9" w:rsidP="00BF461A">
      <w:pPr>
        <w:pStyle w:val="ListParagraph"/>
        <w:numPr>
          <w:ilvl w:val="1"/>
          <w:numId w:val="3"/>
        </w:numPr>
      </w:pPr>
      <w:r w:rsidRPr="00A843F9">
        <w:t>All academic institutions will report on a full-year cohort, defined as July 1-June 30</w:t>
      </w:r>
      <w:r w:rsidR="00E80A47">
        <w:t>.</w:t>
      </w:r>
    </w:p>
    <w:p w:rsidR="00A843F9" w:rsidRDefault="00A843F9" w:rsidP="00BF461A">
      <w:pPr>
        <w:pStyle w:val="ListParagraph"/>
        <w:numPr>
          <w:ilvl w:val="1"/>
          <w:numId w:val="3"/>
        </w:numPr>
      </w:pPr>
      <w:r w:rsidRPr="00A843F9">
        <w:t>Each of the four OM cohorts will have a Pell Grant recipient sub-cohort</w:t>
      </w:r>
      <w:r w:rsidR="00E80A47">
        <w:t>.</w:t>
      </w:r>
    </w:p>
    <w:p w:rsidR="009C1A0A" w:rsidRDefault="009C1A0A" w:rsidP="00BF461A">
      <w:pPr>
        <w:pStyle w:val="ListParagraph"/>
        <w:numPr>
          <w:ilvl w:val="1"/>
          <w:numId w:val="3"/>
        </w:numPr>
      </w:pPr>
      <w:r w:rsidRPr="009C1A0A">
        <w:t xml:space="preserve">Pell recipients </w:t>
      </w:r>
      <w:proofErr w:type="gramStart"/>
      <w:r w:rsidRPr="009C1A0A">
        <w:t>are identified</w:t>
      </w:r>
      <w:proofErr w:type="gramEnd"/>
      <w:r w:rsidRPr="009C1A0A">
        <w:t xml:space="preserve"> during the entering year (July 1-June 30)</w:t>
      </w:r>
      <w:r w:rsidR="00E80A47">
        <w:t>.</w:t>
      </w:r>
    </w:p>
    <w:p w:rsidR="009C1A0A" w:rsidRDefault="009C1A0A" w:rsidP="009C1A0A">
      <w:pPr>
        <w:pStyle w:val="ListParagraph"/>
        <w:numPr>
          <w:ilvl w:val="1"/>
          <w:numId w:val="3"/>
        </w:numPr>
      </w:pPr>
      <w:r w:rsidRPr="009C1A0A">
        <w:t xml:space="preserve">Institutions will report on three status years: </w:t>
      </w:r>
      <w:r w:rsidRPr="007C1915">
        <w:rPr>
          <w:b/>
          <w:highlight w:val="yellow"/>
        </w:rPr>
        <w:t>4 years</w:t>
      </w:r>
      <w:r w:rsidR="007C1915">
        <w:t>, 6 years, and 8 years</w:t>
      </w:r>
      <w:r w:rsidR="00916B51">
        <w:t>; a</w:t>
      </w:r>
      <w:r w:rsidR="00916B51" w:rsidRPr="00916B51">
        <w:t>ward status for each status year are mutually exclusive</w:t>
      </w:r>
      <w:r w:rsidRPr="009C1A0A">
        <w:t xml:space="preserve"> </w:t>
      </w:r>
      <w:r w:rsidR="008F13EE">
        <w:t>(</w:t>
      </w:r>
      <w:r w:rsidR="008F13EE" w:rsidRPr="008F13EE">
        <w:rPr>
          <w:b/>
        </w:rPr>
        <w:t>report each student only once; do not count graduate awards conferred to undergraduate students</w:t>
      </w:r>
      <w:r w:rsidR="008F13EE">
        <w:t>)</w:t>
      </w:r>
      <w:r w:rsidR="00294857">
        <w:t>.</w:t>
      </w:r>
    </w:p>
    <w:p w:rsidR="007C1915" w:rsidRDefault="007C1915" w:rsidP="009C1A0A">
      <w:pPr>
        <w:pStyle w:val="ListParagraph"/>
        <w:numPr>
          <w:ilvl w:val="1"/>
          <w:numId w:val="3"/>
        </w:numPr>
      </w:pPr>
      <w:r w:rsidRPr="007C1915">
        <w:t xml:space="preserve">Institutions will report on the </w:t>
      </w:r>
      <w:r w:rsidRPr="007C1915">
        <w:rPr>
          <w:b/>
          <w:highlight w:val="yellow"/>
        </w:rPr>
        <w:t>highest</w:t>
      </w:r>
      <w:r w:rsidRPr="007C1915">
        <w:t xml:space="preserve"> award conferred (certificate, associates or bachelors)</w:t>
      </w:r>
      <w:r>
        <w:t xml:space="preserve"> for each of those status years; previously “any” award</w:t>
      </w:r>
      <w:r w:rsidR="00294857">
        <w:t>.</w:t>
      </w:r>
    </w:p>
    <w:p w:rsidR="001A518E" w:rsidRDefault="001A518E" w:rsidP="009C1A0A">
      <w:pPr>
        <w:pStyle w:val="ListParagraph"/>
        <w:numPr>
          <w:ilvl w:val="1"/>
          <w:numId w:val="3"/>
        </w:numPr>
      </w:pPr>
      <w:r w:rsidRPr="001A518E">
        <w:t xml:space="preserve">Institutions that offer a predominant number of programs based on standard academic terms (semesters, trimesters, quarters, or 4-1-4 plan) </w:t>
      </w:r>
      <w:proofErr w:type="gramStart"/>
      <w:r w:rsidRPr="001A518E">
        <w:t>are considered</w:t>
      </w:r>
      <w:proofErr w:type="gramEnd"/>
      <w:r w:rsidRPr="001A518E">
        <w:t xml:space="preserve"> </w:t>
      </w:r>
      <w:r w:rsidRPr="001A518E">
        <w:rPr>
          <w:i/>
          <w:iCs/>
        </w:rPr>
        <w:t xml:space="preserve">academic reporters </w:t>
      </w:r>
      <w:r w:rsidRPr="001A518E">
        <w:t xml:space="preserve">and will report using a full-year cohort of students. </w:t>
      </w:r>
      <w:r w:rsidRPr="00FE0344">
        <w:rPr>
          <w:b/>
          <w:bCs/>
          <w:highlight w:val="yellow"/>
        </w:rPr>
        <w:t xml:space="preserve">Do </w:t>
      </w:r>
      <w:r w:rsidRPr="00FE0344">
        <w:rPr>
          <w:b/>
          <w:bCs/>
          <w:highlight w:val="yellow"/>
          <w:u w:val="single"/>
        </w:rPr>
        <w:t>not</w:t>
      </w:r>
      <w:r w:rsidRPr="00FE0344">
        <w:rPr>
          <w:b/>
          <w:bCs/>
          <w:highlight w:val="yellow"/>
        </w:rPr>
        <w:t xml:space="preserve"> use a fall cohort</w:t>
      </w:r>
      <w:r w:rsidRPr="00FE0344">
        <w:rPr>
          <w:highlight w:val="yellow"/>
        </w:rPr>
        <w:t>.</w:t>
      </w:r>
      <w:r w:rsidRPr="001A518E">
        <w:t xml:space="preserve"> These institutions must count as entering students all those students who entered the institution between July 1, 2009 and June 30, 2010</w:t>
      </w:r>
      <w:r w:rsidR="00294857">
        <w:t>.</w:t>
      </w:r>
    </w:p>
    <w:p w:rsidR="00974FD9" w:rsidRDefault="00E61286" w:rsidP="0071346B">
      <w:pPr>
        <w:pStyle w:val="ListParagraph"/>
        <w:numPr>
          <w:ilvl w:val="1"/>
          <w:numId w:val="3"/>
        </w:numPr>
      </w:pPr>
      <w:r w:rsidRPr="00FE0344">
        <w:t xml:space="preserve">Students who received a Pell Grant </w:t>
      </w:r>
      <w:r w:rsidRPr="00700F2D">
        <w:rPr>
          <w:b/>
          <w:bCs/>
        </w:rPr>
        <w:t xml:space="preserve">(dollars disbursed) </w:t>
      </w:r>
      <w:r w:rsidRPr="00FE0344">
        <w:t xml:space="preserve">are included in the Pell Grant sub-cohorts. </w:t>
      </w:r>
      <w:r w:rsidRPr="00700F2D">
        <w:rPr>
          <w:b/>
          <w:highlight w:val="yellow"/>
        </w:rPr>
        <w:t xml:space="preserve">Institutions should </w:t>
      </w:r>
      <w:r w:rsidR="00AD5A41" w:rsidRPr="00700F2D">
        <w:rPr>
          <w:b/>
          <w:highlight w:val="yellow"/>
        </w:rPr>
        <w:t>NOT</w:t>
      </w:r>
      <w:r w:rsidRPr="00700F2D">
        <w:rPr>
          <w:b/>
          <w:highlight w:val="yellow"/>
        </w:rPr>
        <w:t xml:space="preserve"> include students who </w:t>
      </w:r>
      <w:proofErr w:type="gramStart"/>
      <w:r w:rsidRPr="00700F2D">
        <w:rPr>
          <w:b/>
          <w:highlight w:val="yellow"/>
        </w:rPr>
        <w:t>were awarded</w:t>
      </w:r>
      <w:proofErr w:type="gramEnd"/>
      <w:r w:rsidRPr="00700F2D">
        <w:rPr>
          <w:b/>
          <w:highlight w:val="yellow"/>
        </w:rPr>
        <w:t xml:space="preserve"> a Pell Grant, but did not receive a disbursement</w:t>
      </w:r>
      <w:r w:rsidRPr="00FE0344">
        <w:t>.</w:t>
      </w:r>
    </w:p>
    <w:p w:rsidR="00FE0344" w:rsidRDefault="00974FD9" w:rsidP="009C1A0A">
      <w:pPr>
        <w:pStyle w:val="ListParagraph"/>
        <w:numPr>
          <w:ilvl w:val="1"/>
          <w:numId w:val="3"/>
        </w:numPr>
      </w:pPr>
      <w:r>
        <w:t>New FAQ: Highest Award</w:t>
      </w:r>
    </w:p>
    <w:p w:rsidR="003D0BF3" w:rsidRPr="00974FD9" w:rsidRDefault="00E61286" w:rsidP="00974FD9">
      <w:pPr>
        <w:pStyle w:val="ListParagraph"/>
        <w:numPr>
          <w:ilvl w:val="2"/>
          <w:numId w:val="3"/>
        </w:numPr>
      </w:pPr>
      <w:r w:rsidRPr="00974FD9">
        <w:t>Question: I have a student that received an associate’s degree by OM’s 4</w:t>
      </w:r>
      <w:r w:rsidRPr="00974FD9">
        <w:rPr>
          <w:vertAlign w:val="superscript"/>
        </w:rPr>
        <w:t>th</w:t>
      </w:r>
      <w:r w:rsidRPr="00974FD9">
        <w:t xml:space="preserve"> year status and received a certificate that is greater than 2</w:t>
      </w:r>
      <w:r w:rsidR="00EA030B">
        <w:t xml:space="preserve"> </w:t>
      </w:r>
      <w:r w:rsidRPr="00974FD9">
        <w:t>years, but less than 4 year by OM’s 6</w:t>
      </w:r>
      <w:r w:rsidRPr="00974FD9">
        <w:rPr>
          <w:vertAlign w:val="superscript"/>
        </w:rPr>
        <w:t>th</w:t>
      </w:r>
      <w:r w:rsidRPr="00974FD9">
        <w:t xml:space="preserve"> year status. Which is the award is the highest award?</w:t>
      </w:r>
    </w:p>
    <w:p w:rsidR="00974FD9" w:rsidRDefault="00E61286" w:rsidP="00974FD9">
      <w:pPr>
        <w:pStyle w:val="ListParagraph"/>
        <w:numPr>
          <w:ilvl w:val="2"/>
          <w:numId w:val="3"/>
        </w:numPr>
      </w:pPr>
      <w:r w:rsidRPr="00974FD9">
        <w:t>Answer: Report the associate’s degree as the highest award for the 6</w:t>
      </w:r>
      <w:r w:rsidRPr="00974FD9">
        <w:rPr>
          <w:vertAlign w:val="superscript"/>
        </w:rPr>
        <w:t>th</w:t>
      </w:r>
      <w:r w:rsidRPr="00974FD9">
        <w:t xml:space="preserve"> year and 8</w:t>
      </w:r>
      <w:r w:rsidRPr="00974FD9">
        <w:rPr>
          <w:vertAlign w:val="superscript"/>
        </w:rPr>
        <w:t>th</w:t>
      </w:r>
      <w:r w:rsidRPr="00974FD9">
        <w:t xml:space="preserve"> year status points.</w:t>
      </w:r>
    </w:p>
    <w:p w:rsidR="00E80A47" w:rsidRDefault="00E80A47" w:rsidP="00E80A47">
      <w:pPr>
        <w:pStyle w:val="ListParagraph"/>
        <w:numPr>
          <w:ilvl w:val="1"/>
          <w:numId w:val="3"/>
        </w:numPr>
      </w:pPr>
      <w:r>
        <w:t>New FAQ: Cohort Attendance Level Switch</w:t>
      </w:r>
    </w:p>
    <w:p w:rsidR="003D0BF3" w:rsidRPr="00E80A47" w:rsidRDefault="00E61286" w:rsidP="00E80A47">
      <w:pPr>
        <w:pStyle w:val="ListParagraph"/>
        <w:numPr>
          <w:ilvl w:val="2"/>
          <w:numId w:val="3"/>
        </w:numPr>
      </w:pPr>
      <w:r w:rsidRPr="00E80A47">
        <w:t xml:space="preserve">Question: I have a non-first-time student that started out as a part-time student in the fall term, but then switched to full-time in the spring term. Which cohort attendance level do I place this student </w:t>
      </w:r>
      <w:proofErr w:type="gramStart"/>
      <w:r w:rsidRPr="00E80A47">
        <w:t>in</w:t>
      </w:r>
      <w:proofErr w:type="gramEnd"/>
      <w:r w:rsidRPr="00E80A47">
        <w:t>?</w:t>
      </w:r>
    </w:p>
    <w:p w:rsidR="00700F2D" w:rsidRDefault="00E61286" w:rsidP="00E80A47">
      <w:pPr>
        <w:pStyle w:val="ListParagraph"/>
        <w:numPr>
          <w:ilvl w:val="2"/>
          <w:numId w:val="3"/>
        </w:numPr>
      </w:pPr>
      <w:r w:rsidRPr="00E80A47">
        <w:t xml:space="preserve">Answer: Place this student in the part-time, non-first-time cohort. Students </w:t>
      </w:r>
      <w:proofErr w:type="gramStart"/>
      <w:r w:rsidRPr="00E80A47">
        <w:t>are placed</w:t>
      </w:r>
      <w:proofErr w:type="gramEnd"/>
      <w:r w:rsidRPr="00E80A47">
        <w:t xml:space="preserve"> in the cohort at entry.</w:t>
      </w:r>
    </w:p>
    <w:p w:rsidR="00E80A47" w:rsidRDefault="00700F2D" w:rsidP="00700F2D">
      <w:r>
        <w:br w:type="page"/>
      </w:r>
    </w:p>
    <w:p w:rsidR="00294857" w:rsidRDefault="00294857" w:rsidP="00294857">
      <w:pPr>
        <w:pStyle w:val="ListParagraph"/>
        <w:numPr>
          <w:ilvl w:val="1"/>
          <w:numId w:val="3"/>
        </w:numPr>
      </w:pPr>
      <w:r>
        <w:lastRenderedPageBreak/>
        <w:t>New FAQ: Student starts in the short session</w:t>
      </w:r>
      <w:r w:rsidR="00043DFD">
        <w:t xml:space="preserve"> (equivalent to our </w:t>
      </w:r>
      <w:r w:rsidR="00FE5737">
        <w:t xml:space="preserve">summer &amp;/or </w:t>
      </w:r>
      <w:r w:rsidR="00043DFD">
        <w:t>“off-schedule” terms)</w:t>
      </w:r>
    </w:p>
    <w:p w:rsidR="003D0BF3" w:rsidRPr="00294857" w:rsidRDefault="00E61286" w:rsidP="00294857">
      <w:pPr>
        <w:pStyle w:val="ListParagraph"/>
        <w:numPr>
          <w:ilvl w:val="2"/>
          <w:numId w:val="3"/>
        </w:numPr>
      </w:pPr>
      <w:r w:rsidRPr="00294857">
        <w:t xml:space="preserve">Question: Which cohort do I place the student in if they start in the summer session (or winter session)? </w:t>
      </w:r>
    </w:p>
    <w:p w:rsidR="009C1A0A" w:rsidRDefault="00E61286" w:rsidP="00FE5737">
      <w:pPr>
        <w:pStyle w:val="ListParagraph"/>
        <w:numPr>
          <w:ilvl w:val="2"/>
          <w:numId w:val="3"/>
        </w:numPr>
      </w:pPr>
      <w:r w:rsidRPr="00294857">
        <w:t>Answer: If the student continues enrollment in the following full-term, place that student in the cohort reflective of their attendance level for that following term.</w:t>
      </w:r>
    </w:p>
    <w:p w:rsidR="00EA030B" w:rsidRPr="000B0C2B" w:rsidRDefault="00EA030B" w:rsidP="00EA030B">
      <w:pPr>
        <w:pStyle w:val="ListParagraph"/>
        <w:numPr>
          <w:ilvl w:val="1"/>
          <w:numId w:val="3"/>
        </w:numPr>
        <w:rPr>
          <w:highlight w:val="yellow"/>
        </w:rPr>
      </w:pPr>
      <w:r w:rsidRPr="000B0C2B">
        <w:rPr>
          <w:highlight w:val="yellow"/>
        </w:rPr>
        <w:t xml:space="preserve">Definition: Post-baccalaureate students </w:t>
      </w:r>
      <w:proofErr w:type="gramStart"/>
      <w:r w:rsidRPr="000B0C2B">
        <w:rPr>
          <w:highlight w:val="yellow"/>
        </w:rPr>
        <w:t>are considered</w:t>
      </w:r>
      <w:proofErr w:type="gramEnd"/>
      <w:r w:rsidRPr="000B0C2B">
        <w:rPr>
          <w:highlight w:val="yellow"/>
        </w:rPr>
        <w:t xml:space="preserve"> graduate students for IPEDS reporting</w:t>
      </w:r>
      <w:r w:rsidR="005D3B46">
        <w:rPr>
          <w:highlight w:val="yellow"/>
        </w:rPr>
        <w:t xml:space="preserve"> purposes</w:t>
      </w:r>
      <w:r w:rsidR="000B0C2B" w:rsidRPr="000B0C2B">
        <w:rPr>
          <w:highlight w:val="yellow"/>
        </w:rPr>
        <w:t>; since they already have a Bachelor’s degree.</w:t>
      </w:r>
      <w:r w:rsidR="005D3B46">
        <w:rPr>
          <w:highlight w:val="yellow"/>
        </w:rPr>
        <w:t xml:space="preserve"> Otherwise, data reported to IPEDS should mirror data submitted to ADHE.</w:t>
      </w:r>
    </w:p>
    <w:p w:rsidR="00C72A79" w:rsidRPr="00700F2D" w:rsidRDefault="00FE5737" w:rsidP="00B51CB9">
      <w:pPr>
        <w:pStyle w:val="ListParagraph"/>
        <w:numPr>
          <w:ilvl w:val="0"/>
          <w:numId w:val="3"/>
        </w:numPr>
        <w:rPr>
          <w:b/>
        </w:rPr>
      </w:pPr>
      <w:r w:rsidRPr="00700F2D">
        <w:rPr>
          <w:b/>
        </w:rPr>
        <w:t>Admissions (ADM)</w:t>
      </w:r>
    </w:p>
    <w:p w:rsidR="003D0BF3" w:rsidRPr="006F1EFD" w:rsidRDefault="00E61286" w:rsidP="006F1EFD">
      <w:pPr>
        <w:pStyle w:val="ListParagraph"/>
        <w:numPr>
          <w:ilvl w:val="1"/>
          <w:numId w:val="3"/>
        </w:numPr>
      </w:pPr>
      <w:r w:rsidRPr="006F1EFD">
        <w:t xml:space="preserve">SAT critical reading and math scores should be reported based on the new (2016) SAT score range. </w:t>
      </w:r>
    </w:p>
    <w:p w:rsidR="003D0BF3" w:rsidRPr="006F1EFD" w:rsidRDefault="00E61286" w:rsidP="006F1EFD">
      <w:pPr>
        <w:pStyle w:val="ListParagraph"/>
        <w:numPr>
          <w:ilvl w:val="1"/>
          <w:numId w:val="3"/>
        </w:numPr>
      </w:pPr>
      <w:r w:rsidRPr="006F1EFD">
        <w:t xml:space="preserve">Institutions that have scores based on the old (2015) SAT score range should convert scores using the College Board concordance tables. </w:t>
      </w:r>
    </w:p>
    <w:p w:rsidR="00874400" w:rsidRDefault="00EB041C" w:rsidP="00874400">
      <w:pPr>
        <w:pStyle w:val="ListParagraph"/>
        <w:numPr>
          <w:ilvl w:val="1"/>
          <w:numId w:val="3"/>
        </w:numPr>
      </w:pPr>
      <w:r>
        <w:t xml:space="preserve">College Boards’ SAT Score Converter: </w:t>
      </w:r>
    </w:p>
    <w:p w:rsidR="00B51CB9" w:rsidRPr="00E61286" w:rsidRDefault="00B51B30" w:rsidP="00874400">
      <w:pPr>
        <w:pStyle w:val="ListParagraph"/>
        <w:numPr>
          <w:ilvl w:val="2"/>
          <w:numId w:val="3"/>
        </w:numPr>
        <w:rPr>
          <w:rStyle w:val="IntenseEmphasis"/>
        </w:rPr>
      </w:pPr>
      <w:hyperlink r:id="rId13" w:history="1">
        <w:r w:rsidR="00874400" w:rsidRPr="00E61286">
          <w:rPr>
            <w:rStyle w:val="IntenseEmphasis"/>
          </w:rPr>
          <w:t>https://collegereadiness.collegeboard.org/sat/scores/understanding-scores/sat-score-converter</w:t>
        </w:r>
      </w:hyperlink>
    </w:p>
    <w:p w:rsidR="00EB041C" w:rsidRDefault="00874400" w:rsidP="00EB041C">
      <w:pPr>
        <w:pStyle w:val="ListParagraph"/>
        <w:numPr>
          <w:ilvl w:val="1"/>
          <w:numId w:val="3"/>
        </w:numPr>
      </w:pPr>
      <w:r>
        <w:t>College Boards’ SAT Concordance tables:</w:t>
      </w:r>
    </w:p>
    <w:p w:rsidR="009416AB" w:rsidRPr="00E61286" w:rsidRDefault="00B51B30" w:rsidP="00235D3D">
      <w:pPr>
        <w:pStyle w:val="ListParagraph"/>
        <w:numPr>
          <w:ilvl w:val="2"/>
          <w:numId w:val="3"/>
        </w:numPr>
        <w:rPr>
          <w:rStyle w:val="IntenseEmphasis"/>
        </w:rPr>
      </w:pPr>
      <w:hyperlink r:id="rId14" w:history="1">
        <w:r w:rsidR="00874400" w:rsidRPr="00E61286">
          <w:rPr>
            <w:rStyle w:val="IntenseEmphasis"/>
          </w:rPr>
          <w:t>https://collegereadiness.collegeboard.org/pdf/understanding-sat-scores-2016.pdf</w:t>
        </w:r>
      </w:hyperlink>
    </w:p>
    <w:p w:rsidR="00C4318B" w:rsidRPr="003E49E3" w:rsidRDefault="00C4318B" w:rsidP="00C4318B">
      <w:pPr>
        <w:pStyle w:val="ListParagraph"/>
        <w:numPr>
          <w:ilvl w:val="0"/>
          <w:numId w:val="3"/>
        </w:numPr>
        <w:rPr>
          <w:b/>
        </w:rPr>
      </w:pPr>
      <w:r w:rsidRPr="003E49E3">
        <w:rPr>
          <w:b/>
        </w:rPr>
        <w:t>Student Financial Aid (SFA)</w:t>
      </w:r>
    </w:p>
    <w:p w:rsidR="003D0BF3" w:rsidRDefault="00E61286" w:rsidP="00C4318B">
      <w:pPr>
        <w:pStyle w:val="ListParagraph"/>
        <w:numPr>
          <w:ilvl w:val="1"/>
          <w:numId w:val="3"/>
        </w:numPr>
      </w:pPr>
      <w:r w:rsidRPr="00C4318B">
        <w:t>Maximum am</w:t>
      </w:r>
      <w:r w:rsidR="00F91903">
        <w:t xml:space="preserve">ount of DOD TAP reimbursements </w:t>
      </w:r>
      <w:r w:rsidRPr="00C4318B">
        <w:t>= $4500/student/fiscal year</w:t>
      </w:r>
      <w:r w:rsidR="00C4318B">
        <w:t>.</w:t>
      </w:r>
    </w:p>
    <w:p w:rsidR="0093765C" w:rsidRDefault="0093765C" w:rsidP="00C4318B">
      <w:pPr>
        <w:pStyle w:val="ListParagraph"/>
        <w:numPr>
          <w:ilvl w:val="1"/>
          <w:numId w:val="3"/>
        </w:numPr>
      </w:pPr>
      <w:r>
        <w:t>FAQ to provide guidance for reporting DOD TAP</w:t>
      </w:r>
    </w:p>
    <w:p w:rsidR="003D0BF3" w:rsidRPr="00112244" w:rsidRDefault="00E61286" w:rsidP="00112244">
      <w:pPr>
        <w:pStyle w:val="ListParagraph"/>
        <w:numPr>
          <w:ilvl w:val="2"/>
          <w:numId w:val="3"/>
        </w:numPr>
      </w:pPr>
      <w:r w:rsidRPr="00112244">
        <w:t xml:space="preserve">The SFA survey indicates that the maximum amount of DOD TAP awarded per fiscal year per student is $4500. What do I do if my DOD TAP average is greater than $4500 per student? </w:t>
      </w:r>
    </w:p>
    <w:p w:rsidR="003D0BF3" w:rsidRPr="00112244" w:rsidRDefault="00E61286" w:rsidP="00112244">
      <w:pPr>
        <w:pStyle w:val="ListParagraph"/>
        <w:numPr>
          <w:ilvl w:val="3"/>
          <w:numId w:val="3"/>
        </w:numPr>
      </w:pPr>
      <w:r w:rsidRPr="00112244">
        <w:t>According to the 2014 final regulations set for the DOD Voluntary Education Programs - which include TAP  (</w:t>
      </w:r>
      <w:hyperlink r:id="rId15" w:history="1">
        <w:r w:rsidRPr="00E61286">
          <w:rPr>
            <w:rStyle w:val="IntenseEmphasis"/>
          </w:rPr>
          <w:t>https://www.regulations.gov/document?D=DOD-2013-OS-0093-0048</w:t>
        </w:r>
      </w:hyperlink>
      <w:r w:rsidRPr="00112244">
        <w:t>) - each branch of military service can pay no more than $250/semester-unit (or equivalent) for tuition. Each service member is eligible for up to $4500 in aggregate for each fiscal year. If your institution’s DOD TAP average is greater than $4500 per student per award year, then you should:</w:t>
      </w:r>
    </w:p>
    <w:p w:rsidR="003D0BF3" w:rsidRPr="00112244" w:rsidRDefault="00E61286" w:rsidP="003E49E3">
      <w:pPr>
        <w:pStyle w:val="ListParagraph"/>
        <w:numPr>
          <w:ilvl w:val="4"/>
          <w:numId w:val="3"/>
        </w:numPr>
      </w:pPr>
      <w:r w:rsidRPr="00112244">
        <w:t xml:space="preserve">Ask your financial aid office or VA certifying official to sort out the military aid and remove any </w:t>
      </w:r>
      <w:r w:rsidRPr="00112244">
        <w:rPr>
          <w:b/>
          <w:bCs/>
        </w:rPr>
        <w:t xml:space="preserve">non-DOD TAP aid </w:t>
      </w:r>
      <w:r w:rsidRPr="00112244">
        <w:t xml:space="preserve">(e.g., ROTC scholarships, tuition reimbursements for advanced civil schooling, education-related incentive or bonus); </w:t>
      </w:r>
    </w:p>
    <w:p w:rsidR="00CE33AC" w:rsidRDefault="00E61286" w:rsidP="003E49E3">
      <w:pPr>
        <w:pStyle w:val="ListParagraph"/>
        <w:numPr>
          <w:ilvl w:val="4"/>
          <w:numId w:val="3"/>
        </w:numPr>
      </w:pPr>
      <w:r w:rsidRPr="00112244">
        <w:t>Remove any non-Title 10 aid since TAP is a Title 10 program; and</w:t>
      </w:r>
      <w:r w:rsidR="00B51B30">
        <w:t xml:space="preserve"> (cont’d on the next page)</w:t>
      </w:r>
    </w:p>
    <w:p w:rsidR="003D0BF3" w:rsidRPr="00112244" w:rsidRDefault="00CE33AC" w:rsidP="00CE33AC">
      <w:r>
        <w:br w:type="page"/>
      </w:r>
    </w:p>
    <w:p w:rsidR="00B77348" w:rsidRPr="00C4318B" w:rsidRDefault="00E61286" w:rsidP="003E49E3">
      <w:pPr>
        <w:pStyle w:val="ListParagraph"/>
        <w:numPr>
          <w:ilvl w:val="4"/>
          <w:numId w:val="3"/>
        </w:numPr>
      </w:pPr>
      <w:r w:rsidRPr="00112244">
        <w:t xml:space="preserve">Make sure that you are including one disbursement period for that award year. Even though DOD TAP aid are reported for the Oct 1 – Sep 30 timeframe, which technically covers two fall periods; only include one fall disbursement period per award year. </w:t>
      </w:r>
    </w:p>
    <w:p w:rsidR="0093765C" w:rsidRDefault="0093765C" w:rsidP="00F91903">
      <w:pPr>
        <w:pStyle w:val="ListParagraph"/>
        <w:numPr>
          <w:ilvl w:val="1"/>
          <w:numId w:val="3"/>
        </w:numPr>
      </w:pPr>
      <w:r>
        <w:t>Prior year values will be included to enhance data quality checks.</w:t>
      </w:r>
    </w:p>
    <w:p w:rsidR="00A9385D" w:rsidRPr="00CE33AC" w:rsidRDefault="00A9385D" w:rsidP="00A9385D">
      <w:pPr>
        <w:pStyle w:val="ListParagraph"/>
        <w:numPr>
          <w:ilvl w:val="0"/>
          <w:numId w:val="3"/>
        </w:numPr>
        <w:rPr>
          <w:b/>
        </w:rPr>
      </w:pPr>
      <w:r w:rsidRPr="00CE33AC">
        <w:rPr>
          <w:b/>
        </w:rPr>
        <w:t>Human Resources (HR)</w:t>
      </w:r>
    </w:p>
    <w:p w:rsidR="004863FA" w:rsidRDefault="004863FA" w:rsidP="00E718A3">
      <w:pPr>
        <w:pStyle w:val="ListParagraph"/>
        <w:numPr>
          <w:ilvl w:val="1"/>
          <w:numId w:val="3"/>
        </w:numPr>
      </w:pPr>
      <w:r>
        <w:t xml:space="preserve">Head Counts (G1): </w:t>
      </w:r>
    </w:p>
    <w:p w:rsidR="00E718A3" w:rsidRPr="00E718A3" w:rsidRDefault="00E718A3" w:rsidP="004863FA">
      <w:pPr>
        <w:pStyle w:val="ListParagraph"/>
        <w:numPr>
          <w:ilvl w:val="2"/>
          <w:numId w:val="3"/>
        </w:numPr>
      </w:pPr>
      <w:r w:rsidRPr="00E718A3">
        <w:t>New hires. Before we use</w:t>
      </w:r>
      <w:r w:rsidR="004863FA">
        <w:t>d</w:t>
      </w:r>
      <w:r w:rsidRPr="00E718A3">
        <w:t xml:space="preserve"> to collect information as of Nov 1, but that was confusing. Instructions </w:t>
      </w:r>
      <w:proofErr w:type="gramStart"/>
      <w:r w:rsidRPr="00E718A3">
        <w:t>have been clarified</w:t>
      </w:r>
      <w:proofErr w:type="gramEnd"/>
      <w:r w:rsidRPr="00E718A3">
        <w:t xml:space="preserve">. </w:t>
      </w:r>
    </w:p>
    <w:p w:rsidR="00E718A3" w:rsidRDefault="00330117" w:rsidP="00E718A3">
      <w:pPr>
        <w:pStyle w:val="ListParagraph"/>
        <w:numPr>
          <w:ilvl w:val="1"/>
          <w:numId w:val="3"/>
        </w:numPr>
      </w:pPr>
      <w:r>
        <w:t>Salary Outlays (g2):</w:t>
      </w:r>
    </w:p>
    <w:p w:rsidR="00330117" w:rsidRPr="00330117" w:rsidRDefault="00330117" w:rsidP="00330117">
      <w:pPr>
        <w:pStyle w:val="ListParagraph"/>
        <w:numPr>
          <w:ilvl w:val="2"/>
          <w:numId w:val="3"/>
        </w:numPr>
      </w:pPr>
      <w:r w:rsidRPr="00330117">
        <w:t>IPEDS HR is going back to older procedures of collecting HR data. Going back to the way it was.</w:t>
      </w:r>
    </w:p>
    <w:p w:rsidR="00330117" w:rsidRPr="00330117" w:rsidRDefault="00330117" w:rsidP="00330117">
      <w:pPr>
        <w:pStyle w:val="ListParagraph"/>
        <w:numPr>
          <w:ilvl w:val="2"/>
          <w:numId w:val="3"/>
        </w:numPr>
      </w:pPr>
      <w:r w:rsidRPr="00330117">
        <w:t>We are combining more categories because institutions had a difficult time separating categories. For example</w:t>
      </w:r>
      <w:r>
        <w:t>, s</w:t>
      </w:r>
      <w:r w:rsidRPr="00330117">
        <w:t>alary outlays will go to 9/10 and 11/</w:t>
      </w:r>
      <w:proofErr w:type="gramStart"/>
      <w:r w:rsidRPr="00330117">
        <w:t>2</w:t>
      </w:r>
      <w:proofErr w:type="gramEnd"/>
      <w:r w:rsidRPr="00330117">
        <w:t xml:space="preserve"> combination. </w:t>
      </w:r>
    </w:p>
    <w:p w:rsidR="00A9385D" w:rsidRDefault="00330117" w:rsidP="00FC79D4">
      <w:pPr>
        <w:pStyle w:val="ListParagraph"/>
        <w:numPr>
          <w:ilvl w:val="2"/>
          <w:numId w:val="3"/>
        </w:numPr>
      </w:pPr>
      <w:r w:rsidRPr="00330117">
        <w:t>Equated ((9-month outlays) +</w:t>
      </w:r>
      <w:r w:rsidRPr="00330117">
        <w:br/>
        <w:t>(10-month outlays*.9)+</w:t>
      </w:r>
      <w:r w:rsidRPr="00330117">
        <w:br/>
        <w:t>(11-month outlays*</w:t>
      </w:r>
      <w:r>
        <w:t>.</w:t>
      </w:r>
      <w:r w:rsidR="003F6C56">
        <w:t>818+</w:t>
      </w:r>
      <w:r w:rsidR="003F6C56">
        <w:br/>
        <w:t>(12-month outlays * .75))</w:t>
      </w:r>
    </w:p>
    <w:p w:rsidR="003F6C56" w:rsidRPr="00CE33AC" w:rsidRDefault="003F6C56" w:rsidP="003F6C56">
      <w:pPr>
        <w:pStyle w:val="ListParagraph"/>
        <w:numPr>
          <w:ilvl w:val="0"/>
          <w:numId w:val="3"/>
        </w:numPr>
        <w:rPr>
          <w:b/>
        </w:rPr>
      </w:pPr>
      <w:r w:rsidRPr="00CE33AC">
        <w:rPr>
          <w:b/>
        </w:rPr>
        <w:t>Finance (F)</w:t>
      </w:r>
    </w:p>
    <w:p w:rsidR="003F6C56" w:rsidRDefault="003F6C56" w:rsidP="003F6C56">
      <w:pPr>
        <w:pStyle w:val="ListParagraph"/>
        <w:numPr>
          <w:ilvl w:val="1"/>
          <w:numId w:val="3"/>
        </w:numPr>
      </w:pPr>
      <w:r>
        <w:t xml:space="preserve">Clarification on </w:t>
      </w:r>
      <w:r w:rsidR="0090321F">
        <w:t>Operations &amp; Maintenance (</w:t>
      </w:r>
      <w:r>
        <w:t>O&amp;M</w:t>
      </w:r>
      <w:r w:rsidR="0090321F">
        <w:t>)</w:t>
      </w:r>
      <w:r>
        <w:t xml:space="preserve"> Expenses</w:t>
      </w:r>
    </w:p>
    <w:p w:rsidR="0090321F" w:rsidRDefault="0090321F" w:rsidP="0090321F">
      <w:pPr>
        <w:pStyle w:val="ListParagraph"/>
        <w:numPr>
          <w:ilvl w:val="2"/>
          <w:numId w:val="3"/>
        </w:numPr>
      </w:pPr>
      <w:r>
        <w:t>FASB (public &amp; private) and GASB (public)</w:t>
      </w:r>
    </w:p>
    <w:p w:rsidR="003D0BF3" w:rsidRPr="0090321F" w:rsidRDefault="00E61286" w:rsidP="0090321F">
      <w:pPr>
        <w:pStyle w:val="ListParagraph"/>
        <w:numPr>
          <w:ilvl w:val="3"/>
          <w:numId w:val="3"/>
        </w:numPr>
      </w:pPr>
      <w:r w:rsidRPr="0090321F">
        <w:rPr>
          <w:i/>
          <w:iCs/>
        </w:rPr>
        <w:t xml:space="preserve">Do NOT include O&amp;M expenses in Salaries and Wages, Benefits, Depreciation, Interest, or Other Natural Expenses because O&amp;M expense </w:t>
      </w:r>
      <w:proofErr w:type="gramStart"/>
      <w:r w:rsidRPr="0090321F">
        <w:rPr>
          <w:i/>
          <w:iCs/>
        </w:rPr>
        <w:t>is reported</w:t>
      </w:r>
      <w:proofErr w:type="gramEnd"/>
      <w:r w:rsidRPr="0090321F">
        <w:rPr>
          <w:i/>
          <w:iCs/>
        </w:rPr>
        <w:t xml:space="preserve"> in its own separate natural classification category.</w:t>
      </w:r>
    </w:p>
    <w:p w:rsidR="003F6C56" w:rsidRDefault="00C6536C" w:rsidP="00C6536C">
      <w:pPr>
        <w:pStyle w:val="ListParagraph"/>
        <w:numPr>
          <w:ilvl w:val="1"/>
          <w:numId w:val="3"/>
        </w:numPr>
      </w:pPr>
      <w:r>
        <w:t>Clarification for Pension</w:t>
      </w:r>
    </w:p>
    <w:p w:rsidR="003D0BF3" w:rsidRPr="00C6536C" w:rsidRDefault="00E61286" w:rsidP="00C6536C">
      <w:pPr>
        <w:pStyle w:val="ListParagraph"/>
        <w:numPr>
          <w:ilvl w:val="2"/>
          <w:numId w:val="3"/>
        </w:numPr>
      </w:pPr>
      <w:r w:rsidRPr="00C6536C">
        <w:t>Guidance will be added for institutions with jointly audited financial statements</w:t>
      </w:r>
    </w:p>
    <w:p w:rsidR="003D0BF3" w:rsidRPr="00C6536C" w:rsidRDefault="00E61286" w:rsidP="00C6536C">
      <w:pPr>
        <w:pStyle w:val="ListParagraph"/>
        <w:numPr>
          <w:ilvl w:val="3"/>
          <w:numId w:val="3"/>
        </w:numPr>
      </w:pPr>
      <w:r w:rsidRPr="00C6536C">
        <w:t>Pension screening question</w:t>
      </w:r>
    </w:p>
    <w:p w:rsidR="00C6536C" w:rsidRPr="009B6F40" w:rsidRDefault="00E61286" w:rsidP="009B6F40">
      <w:pPr>
        <w:pStyle w:val="ListParagraph"/>
        <w:numPr>
          <w:ilvl w:val="4"/>
          <w:numId w:val="3"/>
        </w:numPr>
      </w:pPr>
      <w:r w:rsidRPr="00C6536C">
        <w:rPr>
          <w:i/>
          <w:iCs/>
        </w:rPr>
        <w:t>System offices absorbing all the pension expenses, liabilities, and deferrals for all their campuses should answer “Yes” to the screening question and the campuses should answer “No”</w:t>
      </w:r>
      <w:r w:rsidR="0092404E">
        <w:rPr>
          <w:i/>
          <w:iCs/>
        </w:rPr>
        <w:t>. [Prevents reporting of duplicated data from all schools in the system.]</w:t>
      </w:r>
    </w:p>
    <w:p w:rsidR="009B6F40" w:rsidRPr="009B6F40" w:rsidRDefault="009B6F40" w:rsidP="009B6F40">
      <w:pPr>
        <w:pStyle w:val="ListParagraph"/>
        <w:numPr>
          <w:ilvl w:val="3"/>
          <w:numId w:val="3"/>
        </w:numPr>
      </w:pPr>
      <w:r>
        <w:rPr>
          <w:i/>
          <w:iCs/>
        </w:rPr>
        <w:t>Part M</w:t>
      </w:r>
    </w:p>
    <w:p w:rsidR="009B6F40" w:rsidRPr="00D6309D" w:rsidRDefault="00E61286" w:rsidP="009B6F40">
      <w:pPr>
        <w:pStyle w:val="ListParagraph"/>
        <w:numPr>
          <w:ilvl w:val="4"/>
          <w:numId w:val="3"/>
        </w:numPr>
      </w:pPr>
      <w:r w:rsidRPr="009B6F40">
        <w:rPr>
          <w:i/>
          <w:iCs/>
        </w:rPr>
        <w:t>Institutions that share audited financials with another entity (e.g., with districts, high schools, hospitals, etc.) should report only its proportionate share of pension expense, liability, and deferrals</w:t>
      </w:r>
      <w:r w:rsidR="0092404E">
        <w:rPr>
          <w:i/>
          <w:iCs/>
        </w:rPr>
        <w:t>. [Prevents</w:t>
      </w:r>
      <w:r w:rsidR="00D6309D">
        <w:rPr>
          <w:i/>
          <w:iCs/>
        </w:rPr>
        <w:t xml:space="preserve"> reporting of pension data for non-</w:t>
      </w:r>
      <w:proofErr w:type="spellStart"/>
      <w:r w:rsidR="00D6309D">
        <w:rPr>
          <w:i/>
          <w:iCs/>
        </w:rPr>
        <w:t>TitleIV</w:t>
      </w:r>
      <w:proofErr w:type="spellEnd"/>
      <w:r w:rsidR="00D6309D">
        <w:rPr>
          <w:i/>
          <w:iCs/>
        </w:rPr>
        <w:t xml:space="preserve"> entities.]</w:t>
      </w:r>
    </w:p>
    <w:p w:rsidR="00DF735B" w:rsidRDefault="00DF735B">
      <w:pPr>
        <w:rPr>
          <w:i/>
          <w:iCs/>
        </w:rPr>
      </w:pPr>
      <w:r>
        <w:rPr>
          <w:i/>
          <w:iCs/>
        </w:rPr>
        <w:br w:type="page"/>
      </w:r>
    </w:p>
    <w:p w:rsidR="00D6309D" w:rsidRPr="00476885" w:rsidRDefault="00476885" w:rsidP="00D6309D">
      <w:pPr>
        <w:pStyle w:val="ListParagraph"/>
        <w:numPr>
          <w:ilvl w:val="3"/>
          <w:numId w:val="3"/>
        </w:numPr>
      </w:pPr>
      <w:r>
        <w:rPr>
          <w:i/>
          <w:iCs/>
        </w:rPr>
        <w:t>Pension Expenses</w:t>
      </w:r>
    </w:p>
    <w:p w:rsidR="003D0BF3" w:rsidRPr="00476885" w:rsidRDefault="00E61286" w:rsidP="00476885">
      <w:pPr>
        <w:pStyle w:val="ListParagraph"/>
        <w:numPr>
          <w:ilvl w:val="4"/>
          <w:numId w:val="3"/>
        </w:numPr>
      </w:pPr>
      <w:r w:rsidRPr="00476885">
        <w:t>Guidance will be added to instruct institutions to allocate pension expenses to</w:t>
      </w:r>
    </w:p>
    <w:p w:rsidR="003D0BF3" w:rsidRPr="00476885" w:rsidRDefault="00E61286" w:rsidP="000C0836">
      <w:pPr>
        <w:pStyle w:val="ListParagraph"/>
        <w:numPr>
          <w:ilvl w:val="5"/>
          <w:numId w:val="3"/>
        </w:numPr>
      </w:pPr>
      <w:r w:rsidRPr="00476885">
        <w:t>Other Functional Expenses (Part C-1)</w:t>
      </w:r>
    </w:p>
    <w:p w:rsidR="003D0BF3" w:rsidRPr="00476885" w:rsidRDefault="00E61286" w:rsidP="000C0836">
      <w:pPr>
        <w:pStyle w:val="ListParagraph"/>
        <w:numPr>
          <w:ilvl w:val="5"/>
          <w:numId w:val="3"/>
        </w:numPr>
      </w:pPr>
      <w:r w:rsidRPr="00476885">
        <w:t>Benefits Expenses (Part C-2)</w:t>
      </w:r>
    </w:p>
    <w:p w:rsidR="00476885" w:rsidRDefault="00476885" w:rsidP="00DF735B">
      <w:pPr>
        <w:pStyle w:val="ListParagraph"/>
        <w:numPr>
          <w:ilvl w:val="5"/>
          <w:numId w:val="3"/>
        </w:numPr>
      </w:pPr>
      <w:r w:rsidRPr="00476885">
        <w:t>Allocating the pension expense to two distinct categories will reduce the volatility across all categories</w:t>
      </w:r>
    </w:p>
    <w:p w:rsidR="00476885" w:rsidRDefault="00476885" w:rsidP="009F02DE"/>
    <w:p w:rsidR="009F02DE" w:rsidRDefault="009F02DE" w:rsidP="009F02DE"/>
    <w:p w:rsidR="009F02DE" w:rsidRDefault="009F02DE" w:rsidP="009F02DE">
      <w:r>
        <w:br/>
      </w:r>
      <w:r>
        <w:br/>
      </w:r>
    </w:p>
    <w:p w:rsidR="009F02DE" w:rsidRDefault="009F02DE">
      <w:r>
        <w:br w:type="page"/>
      </w:r>
    </w:p>
    <w:p w:rsidR="009F02DE" w:rsidRPr="003A0897" w:rsidRDefault="003A0897" w:rsidP="009F02D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IPEDS </w:t>
      </w:r>
      <w:r w:rsidR="009F02DE" w:rsidRPr="003A0897">
        <w:rPr>
          <w:b/>
          <w:sz w:val="32"/>
          <w:szCs w:val="32"/>
        </w:rPr>
        <w:t>Help Desk</w:t>
      </w:r>
      <w:r>
        <w:rPr>
          <w:b/>
          <w:sz w:val="32"/>
          <w:szCs w:val="32"/>
        </w:rPr>
        <w:t xml:space="preserve"> Contact Information</w:t>
      </w:r>
    </w:p>
    <w:p w:rsidR="003D0BF3" w:rsidRPr="009F02DE" w:rsidRDefault="00E61286" w:rsidP="009F02DE">
      <w:pPr>
        <w:numPr>
          <w:ilvl w:val="0"/>
          <w:numId w:val="16"/>
        </w:numPr>
      </w:pPr>
      <w:r w:rsidRPr="009F02DE">
        <w:t>RTI International manages the two IPEDS Help Desks</w:t>
      </w:r>
    </w:p>
    <w:p w:rsidR="003D0BF3" w:rsidRDefault="00E61286" w:rsidP="009F02DE">
      <w:pPr>
        <w:numPr>
          <w:ilvl w:val="1"/>
          <w:numId w:val="16"/>
        </w:numPr>
      </w:pPr>
      <w:r w:rsidRPr="009F02DE">
        <w:t>Data Collection Help Desk</w:t>
      </w:r>
      <w:r w:rsidR="00A11B5F">
        <w:t xml:space="preserve"> – for Reporting the Data (i.e. submitting surveys)</w:t>
      </w:r>
    </w:p>
    <w:p w:rsidR="0030695C" w:rsidRPr="009F02DE" w:rsidRDefault="0030695C" w:rsidP="0030695C">
      <w:pPr>
        <w:numPr>
          <w:ilvl w:val="2"/>
          <w:numId w:val="16"/>
        </w:numPr>
      </w:pPr>
      <w:r w:rsidRPr="0030695C">
        <w:rPr>
          <w:b/>
          <w:bCs/>
        </w:rPr>
        <w:t>1-</w:t>
      </w:r>
      <w:r>
        <w:rPr>
          <w:b/>
          <w:bCs/>
        </w:rPr>
        <w:t>877</w:t>
      </w:r>
      <w:r w:rsidRPr="0030695C">
        <w:rPr>
          <w:b/>
          <w:bCs/>
        </w:rPr>
        <w:t>-</w:t>
      </w:r>
      <w:r>
        <w:rPr>
          <w:b/>
          <w:bCs/>
        </w:rPr>
        <w:t>225</w:t>
      </w:r>
      <w:r w:rsidRPr="0030695C">
        <w:rPr>
          <w:b/>
          <w:bCs/>
        </w:rPr>
        <w:t>-</w:t>
      </w:r>
      <w:r>
        <w:rPr>
          <w:b/>
          <w:bCs/>
        </w:rPr>
        <w:t>2568; ipedshelp</w:t>
      </w:r>
      <w:r w:rsidRPr="0030695C">
        <w:rPr>
          <w:b/>
          <w:bCs/>
        </w:rPr>
        <w:t>@rti.org</w:t>
      </w:r>
    </w:p>
    <w:p w:rsidR="003D0BF3" w:rsidRDefault="00E61286" w:rsidP="009F02DE">
      <w:pPr>
        <w:numPr>
          <w:ilvl w:val="1"/>
          <w:numId w:val="16"/>
        </w:numPr>
      </w:pPr>
      <w:r w:rsidRPr="009F02DE">
        <w:t>Tools Help Desk</w:t>
      </w:r>
      <w:r w:rsidR="00A11B5F">
        <w:t xml:space="preserve"> – for Using the Data</w:t>
      </w:r>
    </w:p>
    <w:p w:rsidR="0030695C" w:rsidRPr="009F02DE" w:rsidRDefault="0030695C" w:rsidP="0030695C">
      <w:pPr>
        <w:numPr>
          <w:ilvl w:val="2"/>
          <w:numId w:val="16"/>
        </w:numPr>
      </w:pPr>
      <w:r w:rsidRPr="0030695C">
        <w:rPr>
          <w:b/>
          <w:bCs/>
        </w:rPr>
        <w:t>1-866-558-0658; ipedstools@rti.org</w:t>
      </w:r>
    </w:p>
    <w:p w:rsidR="003D0BF3" w:rsidRPr="009F02DE" w:rsidRDefault="00E61286" w:rsidP="009F02DE">
      <w:pPr>
        <w:numPr>
          <w:ilvl w:val="0"/>
          <w:numId w:val="16"/>
        </w:numPr>
      </w:pPr>
      <w:r w:rsidRPr="009F02DE">
        <w:t>The Help Desk provides outstanding service as expert representatives</w:t>
      </w:r>
    </w:p>
    <w:p w:rsidR="00F502E7" w:rsidRDefault="00F502E7" w:rsidP="009F02DE">
      <w:pPr>
        <w:numPr>
          <w:ilvl w:val="1"/>
          <w:numId w:val="16"/>
        </w:numPr>
      </w:pPr>
      <w:r>
        <w:t xml:space="preserve">Hours of Operation: </w:t>
      </w:r>
    </w:p>
    <w:p w:rsidR="003D0BF3" w:rsidRPr="009F02DE" w:rsidRDefault="00E61286" w:rsidP="00F502E7">
      <w:pPr>
        <w:numPr>
          <w:ilvl w:val="2"/>
          <w:numId w:val="16"/>
        </w:numPr>
      </w:pPr>
      <w:r w:rsidRPr="009F02DE">
        <w:t>8:30am-5:00pm Eastern</w:t>
      </w:r>
    </w:p>
    <w:p w:rsidR="003D0BF3" w:rsidRPr="009F02DE" w:rsidRDefault="00E61286" w:rsidP="009F02DE">
      <w:pPr>
        <w:numPr>
          <w:ilvl w:val="1"/>
          <w:numId w:val="16"/>
        </w:numPr>
      </w:pPr>
      <w:r w:rsidRPr="009F02DE">
        <w:t>Additional weeknight and weekend hours offered during the final 10 days of each data collection period</w:t>
      </w:r>
    </w:p>
    <w:p w:rsidR="009F02DE" w:rsidRPr="00C73B62" w:rsidRDefault="009F02DE" w:rsidP="009F02DE"/>
    <w:sectPr w:rsidR="009F02DE" w:rsidRPr="00C73B62" w:rsidSect="009E698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DE" w:rsidRDefault="009374DE" w:rsidP="009374DE">
      <w:pPr>
        <w:spacing w:after="0" w:line="240" w:lineRule="auto"/>
      </w:pPr>
      <w:r>
        <w:separator/>
      </w:r>
    </w:p>
  </w:endnote>
  <w:endnote w:type="continuationSeparator" w:id="0">
    <w:p w:rsidR="009374DE" w:rsidRDefault="009374DE" w:rsidP="0093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5B9" w:rsidRDefault="00A50774" w:rsidP="001A05B9">
    <w:pPr>
      <w:pStyle w:val="Footer"/>
    </w:pPr>
    <w:r>
      <w:t>State IPEDS Coordinator</w:t>
    </w:r>
    <w:r w:rsidR="00E321DC">
      <w:t>:  Phylesia Davis</w:t>
    </w:r>
    <w:r w:rsidR="001A05B9">
      <w:tab/>
    </w:r>
    <w:r w:rsidR="001A05B9">
      <w:tab/>
    </w:r>
    <w:r w:rsidR="007328C9">
      <w:t xml:space="preserve">Page </w:t>
    </w:r>
    <w:r w:rsidR="007328C9">
      <w:rPr>
        <w:b/>
        <w:bCs/>
      </w:rPr>
      <w:fldChar w:fldCharType="begin"/>
    </w:r>
    <w:r w:rsidR="007328C9">
      <w:rPr>
        <w:b/>
        <w:bCs/>
      </w:rPr>
      <w:instrText xml:space="preserve"> PAGE  \* Arabic  \* MERGEFORMAT </w:instrText>
    </w:r>
    <w:r w:rsidR="007328C9">
      <w:rPr>
        <w:b/>
        <w:bCs/>
      </w:rPr>
      <w:fldChar w:fldCharType="separate"/>
    </w:r>
    <w:r w:rsidR="00B51B30">
      <w:rPr>
        <w:b/>
        <w:bCs/>
        <w:noProof/>
      </w:rPr>
      <w:t>7</w:t>
    </w:r>
    <w:r w:rsidR="007328C9">
      <w:rPr>
        <w:b/>
        <w:bCs/>
      </w:rPr>
      <w:fldChar w:fldCharType="end"/>
    </w:r>
    <w:r w:rsidR="007328C9">
      <w:t xml:space="preserve"> of </w:t>
    </w:r>
    <w:r w:rsidR="007328C9">
      <w:rPr>
        <w:b/>
        <w:bCs/>
      </w:rPr>
      <w:fldChar w:fldCharType="begin"/>
    </w:r>
    <w:r w:rsidR="007328C9">
      <w:rPr>
        <w:b/>
        <w:bCs/>
      </w:rPr>
      <w:instrText xml:space="preserve"> NUMPAGES  \* Arabic  \* MERGEFORMAT </w:instrText>
    </w:r>
    <w:r w:rsidR="007328C9">
      <w:rPr>
        <w:b/>
        <w:bCs/>
      </w:rPr>
      <w:fldChar w:fldCharType="separate"/>
    </w:r>
    <w:r w:rsidR="00B51B30">
      <w:rPr>
        <w:b/>
        <w:bCs/>
        <w:noProof/>
      </w:rPr>
      <w:t>7</w:t>
    </w:r>
    <w:r w:rsidR="007328C9">
      <w:rPr>
        <w:b/>
        <w:bCs/>
      </w:rPr>
      <w:fldChar w:fldCharType="end"/>
    </w:r>
  </w:p>
  <w:p w:rsidR="001A05B9" w:rsidRDefault="001A05B9" w:rsidP="001A05B9">
    <w:pPr>
      <w:pStyle w:val="Footer"/>
    </w:pPr>
    <w:r>
      <w:t xml:space="preserve">Email: </w:t>
    </w:r>
    <w:r w:rsidR="00A50774">
      <w:t xml:space="preserve">    </w:t>
    </w:r>
    <w:hyperlink r:id="rId1" w:history="1">
      <w:r w:rsidRPr="00083DEF">
        <w:rPr>
          <w:rStyle w:val="Hyperlink"/>
        </w:rPr>
        <w:t>Phylesia.Davis@adhe.edu</w:t>
      </w:r>
    </w:hyperlink>
    <w:r>
      <w:tab/>
    </w:r>
    <w:r>
      <w:tab/>
    </w:r>
  </w:p>
  <w:p w:rsidR="001A05B9" w:rsidRDefault="001A05B9">
    <w:pPr>
      <w:pStyle w:val="Footer"/>
    </w:pPr>
    <w:r>
      <w:t xml:space="preserve">Phone: </w:t>
    </w:r>
    <w:r w:rsidR="00A50774">
      <w:t xml:space="preserve">  </w:t>
    </w:r>
    <w:r>
      <w:t>501-371-2066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DE" w:rsidRDefault="009374DE" w:rsidP="009374DE">
      <w:pPr>
        <w:spacing w:after="0" w:line="240" w:lineRule="auto"/>
      </w:pPr>
      <w:r>
        <w:separator/>
      </w:r>
    </w:p>
  </w:footnote>
  <w:footnote w:type="continuationSeparator" w:id="0">
    <w:p w:rsidR="009374DE" w:rsidRDefault="009374DE" w:rsidP="0093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7DC3"/>
    <w:multiLevelType w:val="hybridMultilevel"/>
    <w:tmpl w:val="09D80A6A"/>
    <w:lvl w:ilvl="0" w:tplc="F6E69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381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A2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500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4E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ED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7C6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240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A4B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054BC4"/>
    <w:multiLevelType w:val="hybridMultilevel"/>
    <w:tmpl w:val="D6A8A2FE"/>
    <w:lvl w:ilvl="0" w:tplc="52D2C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364A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27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ED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E4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74D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49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43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C3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8C22A0"/>
    <w:multiLevelType w:val="hybridMultilevel"/>
    <w:tmpl w:val="29A4F974"/>
    <w:lvl w:ilvl="0" w:tplc="77CAE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2C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06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E6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70F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EE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C4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D67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EED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2E1725"/>
    <w:multiLevelType w:val="hybridMultilevel"/>
    <w:tmpl w:val="26B08784"/>
    <w:lvl w:ilvl="0" w:tplc="4D6C7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EAFB80">
      <w:start w:val="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81CE0">
      <w:start w:val="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70E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07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8E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A9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76A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29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912CC3"/>
    <w:multiLevelType w:val="hybridMultilevel"/>
    <w:tmpl w:val="EF3C5DAC"/>
    <w:lvl w:ilvl="0" w:tplc="E54C3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E8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092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3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2B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04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68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B47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88D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181FCB"/>
    <w:multiLevelType w:val="hybridMultilevel"/>
    <w:tmpl w:val="D644AC10"/>
    <w:lvl w:ilvl="0" w:tplc="5EF65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E41BFE">
      <w:start w:val="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8D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03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9E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6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D27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C8C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27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ED628FB"/>
    <w:multiLevelType w:val="hybridMultilevel"/>
    <w:tmpl w:val="C53C4076"/>
    <w:lvl w:ilvl="0" w:tplc="54B88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24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8D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AA6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48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EE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A6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2F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4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F73045"/>
    <w:multiLevelType w:val="hybridMultilevel"/>
    <w:tmpl w:val="2A16D38E"/>
    <w:lvl w:ilvl="0" w:tplc="8B6AC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45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0E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66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AD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84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4B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AB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62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50607A4"/>
    <w:multiLevelType w:val="hybridMultilevel"/>
    <w:tmpl w:val="BDA6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F27FC"/>
    <w:multiLevelType w:val="hybridMultilevel"/>
    <w:tmpl w:val="589E09CE"/>
    <w:lvl w:ilvl="0" w:tplc="63AAE3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6B7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02B7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32DE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E4BF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63D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A82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6C2C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80C6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A1766C7"/>
    <w:multiLevelType w:val="hybridMultilevel"/>
    <w:tmpl w:val="78AE1B5E"/>
    <w:lvl w:ilvl="0" w:tplc="65B8D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965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26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0F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8F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0B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305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BAC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A702BB"/>
    <w:multiLevelType w:val="hybridMultilevel"/>
    <w:tmpl w:val="DEE80810"/>
    <w:lvl w:ilvl="0" w:tplc="88E68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226AD0">
      <w:start w:val="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03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E3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AC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7AB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8C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63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68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E730A69"/>
    <w:multiLevelType w:val="hybridMultilevel"/>
    <w:tmpl w:val="000C1BBA"/>
    <w:lvl w:ilvl="0" w:tplc="0B623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06D58">
      <w:start w:val="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0A9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563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AE9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0B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6A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82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8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EA20616"/>
    <w:multiLevelType w:val="hybridMultilevel"/>
    <w:tmpl w:val="3C10A2AE"/>
    <w:lvl w:ilvl="0" w:tplc="852C4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A02B54">
      <w:start w:val="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6961E">
      <w:start w:val="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2E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4E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C2D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EE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485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06A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0E25EBD"/>
    <w:multiLevelType w:val="hybridMultilevel"/>
    <w:tmpl w:val="825218F6"/>
    <w:lvl w:ilvl="0" w:tplc="F3409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5E2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64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2C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18E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268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AA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CEE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C4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936566B"/>
    <w:multiLevelType w:val="hybridMultilevel"/>
    <w:tmpl w:val="3BBA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8"/>
  </w:num>
  <w:num w:numId="5">
    <w:abstractNumId w:val="7"/>
  </w:num>
  <w:num w:numId="6">
    <w:abstractNumId w:val="14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B8"/>
    <w:rsid w:val="00043DFD"/>
    <w:rsid w:val="00054C61"/>
    <w:rsid w:val="00064FBD"/>
    <w:rsid w:val="000A4276"/>
    <w:rsid w:val="000B0C2B"/>
    <w:rsid w:val="000C00FD"/>
    <w:rsid w:val="000C0836"/>
    <w:rsid w:val="000F35A9"/>
    <w:rsid w:val="000F77A7"/>
    <w:rsid w:val="00100D1B"/>
    <w:rsid w:val="00112244"/>
    <w:rsid w:val="00127FD0"/>
    <w:rsid w:val="00164379"/>
    <w:rsid w:val="00185B9F"/>
    <w:rsid w:val="001A05B9"/>
    <w:rsid w:val="001A2604"/>
    <w:rsid w:val="001A3C51"/>
    <w:rsid w:val="001A518E"/>
    <w:rsid w:val="001C6500"/>
    <w:rsid w:val="00294857"/>
    <w:rsid w:val="00296BA0"/>
    <w:rsid w:val="002A43E4"/>
    <w:rsid w:val="0030695C"/>
    <w:rsid w:val="00330117"/>
    <w:rsid w:val="003359B0"/>
    <w:rsid w:val="0034220A"/>
    <w:rsid w:val="0038114A"/>
    <w:rsid w:val="003A0897"/>
    <w:rsid w:val="003D0BF3"/>
    <w:rsid w:val="003D205A"/>
    <w:rsid w:val="003D7FB4"/>
    <w:rsid w:val="003E49E3"/>
    <w:rsid w:val="003F6C56"/>
    <w:rsid w:val="004070F7"/>
    <w:rsid w:val="00476885"/>
    <w:rsid w:val="004863FA"/>
    <w:rsid w:val="00505C55"/>
    <w:rsid w:val="005C7213"/>
    <w:rsid w:val="005D3B46"/>
    <w:rsid w:val="0063546E"/>
    <w:rsid w:val="006B646E"/>
    <w:rsid w:val="006F1EFD"/>
    <w:rsid w:val="00700F2D"/>
    <w:rsid w:val="007102C6"/>
    <w:rsid w:val="007328C9"/>
    <w:rsid w:val="00762C85"/>
    <w:rsid w:val="00766802"/>
    <w:rsid w:val="007712D3"/>
    <w:rsid w:val="00774275"/>
    <w:rsid w:val="00775CFC"/>
    <w:rsid w:val="00792D11"/>
    <w:rsid w:val="007C1915"/>
    <w:rsid w:val="007F0511"/>
    <w:rsid w:val="00840FE0"/>
    <w:rsid w:val="00873B9A"/>
    <w:rsid w:val="00874400"/>
    <w:rsid w:val="00885291"/>
    <w:rsid w:val="008C3933"/>
    <w:rsid w:val="008E3128"/>
    <w:rsid w:val="008F13EE"/>
    <w:rsid w:val="0090321F"/>
    <w:rsid w:val="00916B51"/>
    <w:rsid w:val="0092404E"/>
    <w:rsid w:val="009374DE"/>
    <w:rsid w:val="0093765C"/>
    <w:rsid w:val="009416AB"/>
    <w:rsid w:val="00974FD9"/>
    <w:rsid w:val="009948B8"/>
    <w:rsid w:val="009B6F40"/>
    <w:rsid w:val="009C1A0A"/>
    <w:rsid w:val="009C45D2"/>
    <w:rsid w:val="009D194B"/>
    <w:rsid w:val="009E1760"/>
    <w:rsid w:val="009E6980"/>
    <w:rsid w:val="009F02DE"/>
    <w:rsid w:val="00A10E22"/>
    <w:rsid w:val="00A11B5F"/>
    <w:rsid w:val="00A50774"/>
    <w:rsid w:val="00A73058"/>
    <w:rsid w:val="00A76188"/>
    <w:rsid w:val="00A843F9"/>
    <w:rsid w:val="00A85C88"/>
    <w:rsid w:val="00A9385D"/>
    <w:rsid w:val="00A93E95"/>
    <w:rsid w:val="00A9554B"/>
    <w:rsid w:val="00AD5A41"/>
    <w:rsid w:val="00AE717B"/>
    <w:rsid w:val="00B03DE1"/>
    <w:rsid w:val="00B11FE6"/>
    <w:rsid w:val="00B51B30"/>
    <w:rsid w:val="00B51CB9"/>
    <w:rsid w:val="00B77348"/>
    <w:rsid w:val="00B97C12"/>
    <w:rsid w:val="00BB5487"/>
    <w:rsid w:val="00BD4DA1"/>
    <w:rsid w:val="00BF461A"/>
    <w:rsid w:val="00BF623E"/>
    <w:rsid w:val="00C0673F"/>
    <w:rsid w:val="00C2692A"/>
    <w:rsid w:val="00C4318B"/>
    <w:rsid w:val="00C47393"/>
    <w:rsid w:val="00C56CDF"/>
    <w:rsid w:val="00C6536C"/>
    <w:rsid w:val="00C72A79"/>
    <w:rsid w:val="00C73B62"/>
    <w:rsid w:val="00C97868"/>
    <w:rsid w:val="00CE33AC"/>
    <w:rsid w:val="00CF1CFD"/>
    <w:rsid w:val="00CF45F3"/>
    <w:rsid w:val="00D6309D"/>
    <w:rsid w:val="00DE6473"/>
    <w:rsid w:val="00DF2E44"/>
    <w:rsid w:val="00DF3330"/>
    <w:rsid w:val="00DF4034"/>
    <w:rsid w:val="00DF735B"/>
    <w:rsid w:val="00E13F05"/>
    <w:rsid w:val="00E321DC"/>
    <w:rsid w:val="00E42BC9"/>
    <w:rsid w:val="00E50D30"/>
    <w:rsid w:val="00E61286"/>
    <w:rsid w:val="00E718A3"/>
    <w:rsid w:val="00E80A47"/>
    <w:rsid w:val="00EA030B"/>
    <w:rsid w:val="00EB041C"/>
    <w:rsid w:val="00EC0789"/>
    <w:rsid w:val="00EC7E8A"/>
    <w:rsid w:val="00EF6A69"/>
    <w:rsid w:val="00F0470A"/>
    <w:rsid w:val="00F23936"/>
    <w:rsid w:val="00F502E7"/>
    <w:rsid w:val="00F60F48"/>
    <w:rsid w:val="00F91903"/>
    <w:rsid w:val="00FE034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EAA28D"/>
  <w15:chartTrackingRefBased/>
  <w15:docId w15:val="{3DF8142E-FA2E-4AE2-8BD6-8314D8FE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8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4DE"/>
  </w:style>
  <w:style w:type="paragraph" w:styleId="Footer">
    <w:name w:val="footer"/>
    <w:basedOn w:val="Normal"/>
    <w:link w:val="FooterChar"/>
    <w:uiPriority w:val="99"/>
    <w:unhideWhenUsed/>
    <w:rsid w:val="00937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4DE"/>
  </w:style>
  <w:style w:type="paragraph" w:styleId="ListParagraph">
    <w:name w:val="List Paragraph"/>
    <w:basedOn w:val="Normal"/>
    <w:uiPriority w:val="34"/>
    <w:qFormat/>
    <w:rsid w:val="00296B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3E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DE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DE1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775CFC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E6128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9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3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8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4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7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7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6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5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5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9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0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4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9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4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8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1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2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6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43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s.nces.ed.gov/IPEDS_py" TargetMode="External"/><Relationship Id="rId13" Type="http://schemas.openxmlformats.org/officeDocument/2006/relationships/hyperlink" Target="https://collegereadiness.collegeboard.org/sat/scores/understanding-scores/sat-score-convert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rveys.nces.ed.gov/IPEDS" TargetMode="External"/><Relationship Id="rId12" Type="http://schemas.openxmlformats.org/officeDocument/2006/relationships/hyperlink" Target="https://surveys.nces.ed.gov/ipeds/ViewContent.aspx?contentId=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surveys.rti.org/IPEDS_TRP_DOCS/prod/documents/TRP51_Summary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gulations.gov/document?D=DOD-2013-OS-0093-0048" TargetMode="External"/><Relationship Id="rId10" Type="http://schemas.openxmlformats.org/officeDocument/2006/relationships/hyperlink" Target="https://www.airweb.org/EducationAndEvents/IPEDSTraining/Pages/IPEDS-Online-Cours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rweb.org" TargetMode="External"/><Relationship Id="rId14" Type="http://schemas.openxmlformats.org/officeDocument/2006/relationships/hyperlink" Target="https://collegereadiness.collegeboard.org/pdf/understanding-sat-scores-2016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ylesia.Davis@adh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Phylesia Davis</dc:creator>
  <cp:keywords/>
  <dc:description/>
  <cp:lastModifiedBy>Phylesia Davis</cp:lastModifiedBy>
  <cp:revision>38</cp:revision>
  <dcterms:created xsi:type="dcterms:W3CDTF">2017-06-21T19:02:00Z</dcterms:created>
  <dcterms:modified xsi:type="dcterms:W3CDTF">2017-06-26T16:44:00Z</dcterms:modified>
</cp:coreProperties>
</file>