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8A2" w:rsidRDefault="001748A2" w:rsidP="001748A2">
      <w:pPr>
        <w:pStyle w:val="listparagraph"/>
        <w:ind w:left="0"/>
        <w:rPr>
          <w:sz w:val="44"/>
          <w:szCs w:val="44"/>
        </w:rPr>
      </w:pPr>
      <w:r>
        <w:rPr>
          <w:sz w:val="44"/>
          <w:szCs w:val="44"/>
        </w:rPr>
        <w:t>Best Practice Area:</w:t>
      </w:r>
    </w:p>
    <w:p w:rsidR="001748A2" w:rsidRDefault="001748A2" w:rsidP="001748A2">
      <w:pPr>
        <w:pStyle w:val="listparagraph"/>
        <w:ind w:left="0"/>
        <w:rPr>
          <w:sz w:val="44"/>
          <w:szCs w:val="44"/>
        </w:rPr>
      </w:pPr>
      <w:r>
        <w:rPr>
          <w:sz w:val="44"/>
          <w:szCs w:val="44"/>
        </w:rPr>
        <w:t>Recruit and Retain Students from Arkansas High Schools</w:t>
      </w:r>
    </w:p>
    <w:p w:rsidR="001748A2" w:rsidRDefault="001748A2" w:rsidP="001748A2">
      <w:pPr>
        <w:pStyle w:val="listparagraph"/>
        <w:ind w:left="0"/>
      </w:pPr>
    </w:p>
    <w:p w:rsidR="001748A2" w:rsidRDefault="001748A2" w:rsidP="001748A2">
      <w:pPr>
        <w:pStyle w:val="NormalWeb"/>
        <w:spacing w:after="0"/>
      </w:pPr>
      <w:r>
        <w:t>Arkansas’ education-to-the-workforce pipeline is in need of improvement because it does not prepare students to compete nationally and globally.  Many of the students who enter high school in Arkansas do not complete postsecondary education. Only 10% of ninth grade students who enter high school graduate from a two-year or four-year institution of higher learning. For the remaining 90%, the future is uncertain.  According to a 2010 report in Complete College America out of 100 9</w:t>
      </w:r>
      <w:r>
        <w:rPr>
          <w:vertAlign w:val="superscript"/>
        </w:rPr>
        <w:t>th</w:t>
      </w:r>
      <w:r>
        <w:t xml:space="preserve"> graders in Arkansas:</w:t>
      </w:r>
    </w:p>
    <w:p w:rsidR="001748A2" w:rsidRDefault="001748A2" w:rsidP="001748A2">
      <w:pPr>
        <w:pStyle w:val="NormalWeb"/>
        <w:spacing w:after="0"/>
      </w:pPr>
    </w:p>
    <w:tbl>
      <w:tblPr>
        <w:tblW w:w="0" w:type="auto"/>
        <w:jc w:val="center"/>
        <w:tblCellMar>
          <w:left w:w="0" w:type="dxa"/>
          <w:right w:w="0" w:type="dxa"/>
        </w:tblCellMar>
        <w:tblLook w:val="04A0" w:firstRow="1" w:lastRow="0" w:firstColumn="1" w:lastColumn="0" w:noHBand="0" w:noVBand="1"/>
      </w:tblPr>
      <w:tblGrid>
        <w:gridCol w:w="2709"/>
        <w:gridCol w:w="2610"/>
        <w:gridCol w:w="999"/>
      </w:tblGrid>
      <w:tr w:rsidR="001748A2" w:rsidTr="001748A2">
        <w:trPr>
          <w:jc w:val="center"/>
        </w:trPr>
        <w:tc>
          <w:tcPr>
            <w:tcW w:w="5319" w:type="dxa"/>
            <w:gridSpan w:val="2"/>
            <w:tcMar>
              <w:top w:w="0" w:type="dxa"/>
              <w:left w:w="108" w:type="dxa"/>
              <w:bottom w:w="0" w:type="dxa"/>
              <w:right w:w="108" w:type="dxa"/>
            </w:tcMar>
            <w:hideMark/>
          </w:tcPr>
          <w:p w:rsidR="001748A2" w:rsidRDefault="001748A2">
            <w:pPr>
              <w:pStyle w:val="NormalWeb"/>
              <w:spacing w:after="0"/>
              <w:jc w:val="center"/>
              <w:rPr>
                <w:b/>
                <w:bCs/>
              </w:rPr>
            </w:pPr>
            <w:r>
              <w:rPr>
                <w:b/>
                <w:bCs/>
              </w:rPr>
              <w:t xml:space="preserve">100 </w:t>
            </w:r>
            <w:r>
              <w:t>Start 9</w:t>
            </w:r>
            <w:r>
              <w:rPr>
                <w:vertAlign w:val="superscript"/>
              </w:rPr>
              <w:t>th</w:t>
            </w:r>
            <w:r>
              <w:t xml:space="preserve"> Grade</w:t>
            </w:r>
          </w:p>
        </w:tc>
        <w:tc>
          <w:tcPr>
            <w:tcW w:w="999" w:type="dxa"/>
            <w:tcMar>
              <w:top w:w="0" w:type="dxa"/>
              <w:left w:w="108" w:type="dxa"/>
              <w:bottom w:w="0" w:type="dxa"/>
              <w:right w:w="108" w:type="dxa"/>
            </w:tcMar>
          </w:tcPr>
          <w:p w:rsidR="001748A2" w:rsidRDefault="001748A2">
            <w:pPr>
              <w:pStyle w:val="NormalWeb"/>
              <w:spacing w:after="0"/>
            </w:pPr>
          </w:p>
        </w:tc>
      </w:tr>
      <w:tr w:rsidR="001748A2" w:rsidTr="001748A2">
        <w:trPr>
          <w:jc w:val="center"/>
        </w:trPr>
        <w:tc>
          <w:tcPr>
            <w:tcW w:w="2709" w:type="dxa"/>
            <w:tcMar>
              <w:top w:w="0" w:type="dxa"/>
              <w:left w:w="108" w:type="dxa"/>
              <w:bottom w:w="0" w:type="dxa"/>
              <w:right w:w="108" w:type="dxa"/>
            </w:tcMar>
            <w:hideMark/>
          </w:tcPr>
          <w:p w:rsidR="001748A2" w:rsidRDefault="001748A2">
            <w:pPr>
              <w:pStyle w:val="NormalWeb"/>
              <w:spacing w:after="0"/>
            </w:pPr>
            <w:r>
              <w:rPr>
                <w:noProof/>
              </w:rPr>
              <w:drawing>
                <wp:anchor distT="0" distB="0" distL="114300" distR="114300" simplePos="0" relativeHeight="251659264" behindDoc="0" locked="0" layoutInCell="1" allowOverlap="1">
                  <wp:simplePos x="0" y="0"/>
                  <wp:positionH relativeFrom="column">
                    <wp:posOffset>1591310</wp:posOffset>
                  </wp:positionH>
                  <wp:positionV relativeFrom="paragraph">
                    <wp:posOffset>-635</wp:posOffset>
                  </wp:positionV>
                  <wp:extent cx="200025" cy="190500"/>
                  <wp:effectExtent l="0" t="0" r="9525"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ight Arrow 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pic:spPr>
                      </pic:pic>
                    </a:graphicData>
                  </a:graphic>
                  <wp14:sizeRelH relativeFrom="page">
                    <wp14:pctWidth>0</wp14:pctWidth>
                  </wp14:sizeRelH>
                  <wp14:sizeRelV relativeFrom="page">
                    <wp14:pctHeight>0</wp14:pctHeight>
                  </wp14:sizeRelV>
                </wp:anchor>
              </w:drawing>
            </w:r>
          </w:p>
        </w:tc>
        <w:tc>
          <w:tcPr>
            <w:tcW w:w="2610" w:type="dxa"/>
            <w:tcMar>
              <w:top w:w="0" w:type="dxa"/>
              <w:left w:w="108" w:type="dxa"/>
              <w:bottom w:w="0" w:type="dxa"/>
              <w:right w:w="108" w:type="dxa"/>
            </w:tcMar>
          </w:tcPr>
          <w:p w:rsidR="001748A2" w:rsidRDefault="001748A2">
            <w:pPr>
              <w:pStyle w:val="NormalWeb"/>
              <w:spacing w:after="0"/>
            </w:pPr>
          </w:p>
        </w:tc>
        <w:tc>
          <w:tcPr>
            <w:tcW w:w="999" w:type="dxa"/>
            <w:tcMar>
              <w:top w:w="0" w:type="dxa"/>
              <w:left w:w="108" w:type="dxa"/>
              <w:bottom w:w="0" w:type="dxa"/>
              <w:right w:w="108" w:type="dxa"/>
            </w:tcMar>
            <w:hideMark/>
          </w:tcPr>
          <w:p w:rsidR="001748A2" w:rsidRDefault="001748A2">
            <w:pPr>
              <w:pStyle w:val="NormalWeb"/>
              <w:spacing w:after="0"/>
            </w:pPr>
            <w:r>
              <w:t>21 lost</w:t>
            </w:r>
          </w:p>
        </w:tc>
      </w:tr>
      <w:tr w:rsidR="001748A2" w:rsidTr="001748A2">
        <w:trPr>
          <w:jc w:val="center"/>
        </w:trPr>
        <w:tc>
          <w:tcPr>
            <w:tcW w:w="5319" w:type="dxa"/>
            <w:gridSpan w:val="2"/>
            <w:tcMar>
              <w:top w:w="0" w:type="dxa"/>
              <w:left w:w="108" w:type="dxa"/>
              <w:bottom w:w="0" w:type="dxa"/>
              <w:right w:w="108" w:type="dxa"/>
            </w:tcMar>
            <w:hideMark/>
          </w:tcPr>
          <w:p w:rsidR="001748A2" w:rsidRDefault="001748A2">
            <w:pPr>
              <w:pStyle w:val="NormalWeb"/>
              <w:spacing w:after="0"/>
              <w:jc w:val="center"/>
              <w:rPr>
                <w:b/>
                <w:bCs/>
              </w:rPr>
            </w:pPr>
            <w:r>
              <w:rPr>
                <w:b/>
                <w:bCs/>
              </w:rPr>
              <w:t>79</w:t>
            </w:r>
            <w:r>
              <w:t xml:space="preserve"> Graduate High School</w:t>
            </w:r>
          </w:p>
        </w:tc>
        <w:tc>
          <w:tcPr>
            <w:tcW w:w="999" w:type="dxa"/>
            <w:tcMar>
              <w:top w:w="0" w:type="dxa"/>
              <w:left w:w="108" w:type="dxa"/>
              <w:bottom w:w="0" w:type="dxa"/>
              <w:right w:w="108" w:type="dxa"/>
            </w:tcMar>
          </w:tcPr>
          <w:p w:rsidR="001748A2" w:rsidRDefault="001748A2">
            <w:pPr>
              <w:pStyle w:val="NormalWeb"/>
              <w:spacing w:after="0"/>
            </w:pPr>
          </w:p>
        </w:tc>
      </w:tr>
      <w:tr w:rsidR="001748A2" w:rsidTr="001748A2">
        <w:trPr>
          <w:jc w:val="center"/>
        </w:trPr>
        <w:tc>
          <w:tcPr>
            <w:tcW w:w="2709" w:type="dxa"/>
            <w:tcMar>
              <w:top w:w="0" w:type="dxa"/>
              <w:left w:w="108" w:type="dxa"/>
              <w:bottom w:w="0" w:type="dxa"/>
              <w:right w:w="108" w:type="dxa"/>
            </w:tcMar>
            <w:hideMark/>
          </w:tcPr>
          <w:p w:rsidR="001748A2" w:rsidRDefault="001748A2">
            <w:pPr>
              <w:pStyle w:val="NormalWeb"/>
              <w:spacing w:after="0"/>
              <w:jc w:val="center"/>
            </w:pPr>
            <w:r>
              <w:rPr>
                <w:noProof/>
              </w:rPr>
              <w:drawing>
                <wp:anchor distT="0" distB="0" distL="114300" distR="114300" simplePos="0" relativeHeight="251660288" behindDoc="0" locked="0" layoutInCell="1" allowOverlap="1">
                  <wp:simplePos x="0" y="0"/>
                  <wp:positionH relativeFrom="column">
                    <wp:posOffset>796925</wp:posOffset>
                  </wp:positionH>
                  <wp:positionV relativeFrom="paragraph">
                    <wp:posOffset>-3810</wp:posOffset>
                  </wp:positionV>
                  <wp:extent cx="184150" cy="190500"/>
                  <wp:effectExtent l="0" t="0" r="635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ight Arrow 6"/>
                          <pic:cNvPicPr>
                            <a:picLocks noChangeArrowheads="1"/>
                          </pic:cNvPicPr>
                        </pic:nvPicPr>
                        <pic:blipFill>
                          <a:blip r:embed="rId5">
                            <a:extLst>
                              <a:ext uri="{28A0092B-C50C-407E-A947-70E740481C1C}">
                                <a14:useLocalDpi xmlns:a14="http://schemas.microsoft.com/office/drawing/2010/main" val="0"/>
                              </a:ext>
                            </a:extLst>
                          </a:blip>
                          <a:srcRect r="-1755"/>
                          <a:stretch>
                            <a:fillRect/>
                          </a:stretch>
                        </pic:blipFill>
                        <pic:spPr bwMode="auto">
                          <a:xfrm>
                            <a:off x="0" y="0"/>
                            <a:ext cx="184150" cy="190500"/>
                          </a:xfrm>
                          <a:prstGeom prst="rect">
                            <a:avLst/>
                          </a:prstGeom>
                          <a:noFill/>
                        </pic:spPr>
                      </pic:pic>
                    </a:graphicData>
                  </a:graphic>
                  <wp14:sizeRelH relativeFrom="page">
                    <wp14:pctWidth>0</wp14:pctWidth>
                  </wp14:sizeRelH>
                  <wp14:sizeRelV relativeFrom="page">
                    <wp14:pctHeight>0</wp14:pctHeight>
                  </wp14:sizeRelV>
                </wp:anchor>
              </w:drawing>
            </w:r>
          </w:p>
        </w:tc>
        <w:tc>
          <w:tcPr>
            <w:tcW w:w="2610" w:type="dxa"/>
            <w:tcMar>
              <w:top w:w="0" w:type="dxa"/>
              <w:left w:w="108" w:type="dxa"/>
              <w:bottom w:w="0" w:type="dxa"/>
              <w:right w:w="108" w:type="dxa"/>
            </w:tcMar>
            <w:hideMark/>
          </w:tcPr>
          <w:p w:rsidR="001748A2" w:rsidRDefault="001748A2">
            <w:pPr>
              <w:pStyle w:val="NormalWeb"/>
              <w:spacing w:after="0"/>
              <w:jc w:val="center"/>
            </w:pPr>
            <w:r>
              <w:rPr>
                <w:noProof/>
              </w:rPr>
              <w:drawing>
                <wp:anchor distT="0" distB="0" distL="114300" distR="114300" simplePos="0" relativeHeight="251661312" behindDoc="0" locked="0" layoutInCell="1" allowOverlap="1">
                  <wp:simplePos x="0" y="0"/>
                  <wp:positionH relativeFrom="column">
                    <wp:posOffset>583565</wp:posOffset>
                  </wp:positionH>
                  <wp:positionV relativeFrom="paragraph">
                    <wp:posOffset>-5080</wp:posOffset>
                  </wp:positionV>
                  <wp:extent cx="190500" cy="190500"/>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ight Arrow 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14:sizeRelH relativeFrom="page">
                    <wp14:pctWidth>0</wp14:pctWidth>
                  </wp14:sizeRelH>
                  <wp14:sizeRelV relativeFrom="page">
                    <wp14:pctHeight>0</wp14:pctHeight>
                  </wp14:sizeRelV>
                </wp:anchor>
              </w:drawing>
            </w:r>
          </w:p>
        </w:tc>
        <w:tc>
          <w:tcPr>
            <w:tcW w:w="999" w:type="dxa"/>
            <w:tcMar>
              <w:top w:w="0" w:type="dxa"/>
              <w:left w:w="108" w:type="dxa"/>
              <w:bottom w:w="0" w:type="dxa"/>
              <w:right w:w="108" w:type="dxa"/>
            </w:tcMar>
            <w:hideMark/>
          </w:tcPr>
          <w:p w:rsidR="001748A2" w:rsidRDefault="001748A2">
            <w:pPr>
              <w:pStyle w:val="NormalWeb"/>
              <w:spacing w:after="0"/>
            </w:pPr>
            <w:r>
              <w:t>34 lost</w:t>
            </w:r>
          </w:p>
        </w:tc>
      </w:tr>
      <w:tr w:rsidR="001748A2" w:rsidTr="001748A2">
        <w:trPr>
          <w:jc w:val="center"/>
        </w:trPr>
        <w:tc>
          <w:tcPr>
            <w:tcW w:w="2709" w:type="dxa"/>
            <w:tcMar>
              <w:top w:w="0" w:type="dxa"/>
              <w:left w:w="108" w:type="dxa"/>
              <w:bottom w:w="0" w:type="dxa"/>
              <w:right w:w="108" w:type="dxa"/>
            </w:tcMar>
            <w:hideMark/>
          </w:tcPr>
          <w:p w:rsidR="001748A2" w:rsidRDefault="001748A2">
            <w:pPr>
              <w:pStyle w:val="NormalWeb"/>
              <w:spacing w:after="0"/>
              <w:jc w:val="center"/>
            </w:pPr>
            <w:r>
              <w:rPr>
                <w:b/>
                <w:bCs/>
              </w:rPr>
              <w:t>31</w:t>
            </w:r>
            <w:r>
              <w:t xml:space="preserve"> </w:t>
            </w:r>
          </w:p>
          <w:p w:rsidR="001748A2" w:rsidRDefault="001748A2">
            <w:pPr>
              <w:pStyle w:val="NormalWeb"/>
              <w:spacing w:after="0"/>
              <w:jc w:val="center"/>
              <w:rPr>
                <w:b/>
                <w:bCs/>
              </w:rPr>
            </w:pPr>
            <w:r>
              <w:t>Enter 4-year school</w:t>
            </w:r>
          </w:p>
        </w:tc>
        <w:tc>
          <w:tcPr>
            <w:tcW w:w="2610" w:type="dxa"/>
            <w:tcMar>
              <w:top w:w="0" w:type="dxa"/>
              <w:left w:w="108" w:type="dxa"/>
              <w:bottom w:w="0" w:type="dxa"/>
              <w:right w:w="108" w:type="dxa"/>
            </w:tcMar>
            <w:hideMark/>
          </w:tcPr>
          <w:p w:rsidR="001748A2" w:rsidRDefault="001748A2">
            <w:pPr>
              <w:pStyle w:val="NormalWeb"/>
              <w:spacing w:after="0"/>
              <w:jc w:val="center"/>
            </w:pPr>
            <w:r>
              <w:rPr>
                <w:b/>
                <w:bCs/>
              </w:rPr>
              <w:t>14</w:t>
            </w:r>
            <w:r>
              <w:t xml:space="preserve"> </w:t>
            </w:r>
          </w:p>
          <w:p w:rsidR="001748A2" w:rsidRDefault="001748A2">
            <w:pPr>
              <w:pStyle w:val="NormalWeb"/>
              <w:spacing w:after="0"/>
              <w:jc w:val="center"/>
              <w:rPr>
                <w:b/>
                <w:bCs/>
              </w:rPr>
            </w:pPr>
            <w:r>
              <w:t>Enter 2-year school</w:t>
            </w:r>
          </w:p>
        </w:tc>
        <w:tc>
          <w:tcPr>
            <w:tcW w:w="999" w:type="dxa"/>
            <w:tcMar>
              <w:top w:w="0" w:type="dxa"/>
              <w:left w:w="108" w:type="dxa"/>
              <w:bottom w:w="0" w:type="dxa"/>
              <w:right w:w="108" w:type="dxa"/>
            </w:tcMar>
          </w:tcPr>
          <w:p w:rsidR="001748A2" w:rsidRDefault="001748A2">
            <w:pPr>
              <w:pStyle w:val="NormalWeb"/>
              <w:spacing w:after="0"/>
            </w:pPr>
          </w:p>
        </w:tc>
      </w:tr>
      <w:tr w:rsidR="001748A2" w:rsidTr="001748A2">
        <w:trPr>
          <w:jc w:val="center"/>
        </w:trPr>
        <w:tc>
          <w:tcPr>
            <w:tcW w:w="2709" w:type="dxa"/>
            <w:tcMar>
              <w:top w:w="0" w:type="dxa"/>
              <w:left w:w="108" w:type="dxa"/>
              <w:bottom w:w="0" w:type="dxa"/>
              <w:right w:w="108" w:type="dxa"/>
            </w:tcMar>
            <w:hideMark/>
          </w:tcPr>
          <w:p w:rsidR="001748A2" w:rsidRDefault="001748A2">
            <w:pPr>
              <w:pStyle w:val="NormalWeb"/>
              <w:spacing w:after="0"/>
              <w:jc w:val="center"/>
              <w:rPr>
                <w:b/>
                <w:bCs/>
              </w:rPr>
            </w:pPr>
            <w:r>
              <w:rPr>
                <w:noProof/>
              </w:rPr>
              <w:drawing>
                <wp:anchor distT="0" distB="0" distL="114300" distR="114300" simplePos="0" relativeHeight="251662336" behindDoc="0" locked="0" layoutInCell="1" allowOverlap="1">
                  <wp:simplePos x="0" y="0"/>
                  <wp:positionH relativeFrom="column">
                    <wp:posOffset>725170</wp:posOffset>
                  </wp:positionH>
                  <wp:positionV relativeFrom="paragraph">
                    <wp:posOffset>0</wp:posOffset>
                  </wp:positionV>
                  <wp:extent cx="200025" cy="190500"/>
                  <wp:effectExtent l="0" t="0" r="9525"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ight Arrow 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pic:spPr>
                      </pic:pic>
                    </a:graphicData>
                  </a:graphic>
                  <wp14:sizeRelH relativeFrom="page">
                    <wp14:pctWidth>0</wp14:pctWidth>
                  </wp14:sizeRelH>
                  <wp14:sizeRelV relativeFrom="page">
                    <wp14:pctHeight>0</wp14:pctHeight>
                  </wp14:sizeRelV>
                </wp:anchor>
              </w:drawing>
            </w:r>
          </w:p>
        </w:tc>
        <w:tc>
          <w:tcPr>
            <w:tcW w:w="2610" w:type="dxa"/>
            <w:tcMar>
              <w:top w:w="0" w:type="dxa"/>
              <w:left w:w="108" w:type="dxa"/>
              <w:bottom w:w="0" w:type="dxa"/>
              <w:right w:w="108" w:type="dxa"/>
            </w:tcMar>
            <w:hideMark/>
          </w:tcPr>
          <w:p w:rsidR="001748A2" w:rsidRDefault="001748A2">
            <w:pPr>
              <w:pStyle w:val="NormalWeb"/>
              <w:spacing w:after="0"/>
              <w:jc w:val="center"/>
              <w:rPr>
                <w:b/>
                <w:bCs/>
              </w:rPr>
            </w:pPr>
            <w:r>
              <w:rPr>
                <w:noProof/>
              </w:rPr>
              <w:drawing>
                <wp:anchor distT="0" distB="0" distL="114300" distR="114300" simplePos="0" relativeHeight="251663360" behindDoc="0" locked="0" layoutInCell="1" allowOverlap="1">
                  <wp:simplePos x="0" y="0"/>
                  <wp:positionH relativeFrom="column">
                    <wp:posOffset>699135</wp:posOffset>
                  </wp:positionH>
                  <wp:positionV relativeFrom="paragraph">
                    <wp:posOffset>-4445</wp:posOffset>
                  </wp:positionV>
                  <wp:extent cx="200025" cy="190500"/>
                  <wp:effectExtent l="0" t="0" r="9525"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ight Arrow 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pic:spPr>
                      </pic:pic>
                    </a:graphicData>
                  </a:graphic>
                  <wp14:sizeRelH relativeFrom="page">
                    <wp14:pctWidth>0</wp14:pctWidth>
                  </wp14:sizeRelH>
                  <wp14:sizeRelV relativeFrom="page">
                    <wp14:pctHeight>0</wp14:pctHeight>
                  </wp14:sizeRelV>
                </wp:anchor>
              </w:drawing>
            </w:r>
          </w:p>
        </w:tc>
        <w:tc>
          <w:tcPr>
            <w:tcW w:w="999" w:type="dxa"/>
            <w:tcMar>
              <w:top w:w="0" w:type="dxa"/>
              <w:left w:w="108" w:type="dxa"/>
              <w:bottom w:w="0" w:type="dxa"/>
              <w:right w:w="108" w:type="dxa"/>
            </w:tcMar>
            <w:hideMark/>
          </w:tcPr>
          <w:p w:rsidR="001748A2" w:rsidRDefault="001748A2">
            <w:pPr>
              <w:pStyle w:val="NormalWeb"/>
              <w:spacing w:after="0"/>
            </w:pPr>
            <w:r>
              <w:t>16 lost</w:t>
            </w:r>
          </w:p>
        </w:tc>
      </w:tr>
      <w:tr w:rsidR="001748A2" w:rsidTr="001748A2">
        <w:trPr>
          <w:jc w:val="center"/>
        </w:trPr>
        <w:tc>
          <w:tcPr>
            <w:tcW w:w="2709" w:type="dxa"/>
            <w:tcMar>
              <w:top w:w="0" w:type="dxa"/>
              <w:left w:w="108" w:type="dxa"/>
              <w:bottom w:w="0" w:type="dxa"/>
              <w:right w:w="108" w:type="dxa"/>
            </w:tcMar>
            <w:hideMark/>
          </w:tcPr>
          <w:p w:rsidR="001748A2" w:rsidRDefault="001748A2">
            <w:pPr>
              <w:pStyle w:val="NormalWeb"/>
              <w:spacing w:after="0"/>
              <w:jc w:val="center"/>
            </w:pPr>
            <w:r>
              <w:rPr>
                <w:b/>
                <w:bCs/>
              </w:rPr>
              <w:t>22</w:t>
            </w:r>
            <w:r>
              <w:t xml:space="preserve"> </w:t>
            </w:r>
          </w:p>
          <w:p w:rsidR="001748A2" w:rsidRDefault="001748A2">
            <w:pPr>
              <w:pStyle w:val="NormalWeb"/>
              <w:spacing w:after="0"/>
              <w:jc w:val="center"/>
              <w:rPr>
                <w:b/>
                <w:bCs/>
              </w:rPr>
            </w:pPr>
            <w:r>
              <w:t>Return Sophomore Year</w:t>
            </w:r>
          </w:p>
        </w:tc>
        <w:tc>
          <w:tcPr>
            <w:tcW w:w="2610" w:type="dxa"/>
            <w:tcMar>
              <w:top w:w="0" w:type="dxa"/>
              <w:left w:w="108" w:type="dxa"/>
              <w:bottom w:w="0" w:type="dxa"/>
              <w:right w:w="108" w:type="dxa"/>
            </w:tcMar>
            <w:hideMark/>
          </w:tcPr>
          <w:p w:rsidR="001748A2" w:rsidRDefault="001748A2">
            <w:pPr>
              <w:pStyle w:val="NormalWeb"/>
              <w:spacing w:after="0"/>
              <w:jc w:val="center"/>
            </w:pPr>
            <w:r>
              <w:rPr>
                <w:b/>
                <w:bCs/>
              </w:rPr>
              <w:t>7</w:t>
            </w:r>
            <w:r>
              <w:t xml:space="preserve"> </w:t>
            </w:r>
          </w:p>
          <w:p w:rsidR="001748A2" w:rsidRDefault="001748A2">
            <w:pPr>
              <w:pStyle w:val="NormalWeb"/>
              <w:spacing w:after="0"/>
              <w:jc w:val="center"/>
              <w:rPr>
                <w:b/>
                <w:bCs/>
              </w:rPr>
            </w:pPr>
            <w:r>
              <w:t>Return Sophomore Year</w:t>
            </w:r>
          </w:p>
        </w:tc>
        <w:tc>
          <w:tcPr>
            <w:tcW w:w="999" w:type="dxa"/>
            <w:tcMar>
              <w:top w:w="0" w:type="dxa"/>
              <w:left w:w="108" w:type="dxa"/>
              <w:bottom w:w="0" w:type="dxa"/>
              <w:right w:w="108" w:type="dxa"/>
            </w:tcMar>
          </w:tcPr>
          <w:p w:rsidR="001748A2" w:rsidRDefault="001748A2">
            <w:pPr>
              <w:pStyle w:val="NormalWeb"/>
              <w:spacing w:after="0"/>
            </w:pPr>
          </w:p>
        </w:tc>
      </w:tr>
      <w:tr w:rsidR="001748A2" w:rsidTr="001748A2">
        <w:trPr>
          <w:jc w:val="center"/>
        </w:trPr>
        <w:tc>
          <w:tcPr>
            <w:tcW w:w="2709" w:type="dxa"/>
            <w:tcMar>
              <w:top w:w="0" w:type="dxa"/>
              <w:left w:w="108" w:type="dxa"/>
              <w:bottom w:w="0" w:type="dxa"/>
              <w:right w:w="108" w:type="dxa"/>
            </w:tcMar>
            <w:hideMark/>
          </w:tcPr>
          <w:p w:rsidR="001748A2" w:rsidRDefault="001748A2">
            <w:pPr>
              <w:pStyle w:val="NormalWeb"/>
              <w:spacing w:after="0"/>
              <w:jc w:val="center"/>
              <w:rPr>
                <w:b/>
                <w:bCs/>
              </w:rPr>
            </w:pPr>
            <w:r>
              <w:rPr>
                <w:noProof/>
              </w:rPr>
              <w:drawing>
                <wp:anchor distT="0" distB="0" distL="114300" distR="114300" simplePos="0" relativeHeight="251664384" behindDoc="0" locked="0" layoutInCell="1" allowOverlap="1">
                  <wp:simplePos x="0" y="0"/>
                  <wp:positionH relativeFrom="column">
                    <wp:posOffset>725805</wp:posOffset>
                  </wp:positionH>
                  <wp:positionV relativeFrom="paragraph">
                    <wp:posOffset>-4445</wp:posOffset>
                  </wp:positionV>
                  <wp:extent cx="200025" cy="190500"/>
                  <wp:effectExtent l="0" t="0" r="9525"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ight Arrow 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pic:spPr>
                      </pic:pic>
                    </a:graphicData>
                  </a:graphic>
                  <wp14:sizeRelH relativeFrom="page">
                    <wp14:pctWidth>0</wp14:pctWidth>
                  </wp14:sizeRelH>
                  <wp14:sizeRelV relativeFrom="page">
                    <wp14:pctHeight>0</wp14:pctHeight>
                  </wp14:sizeRelV>
                </wp:anchor>
              </w:drawing>
            </w:r>
          </w:p>
        </w:tc>
        <w:tc>
          <w:tcPr>
            <w:tcW w:w="2610" w:type="dxa"/>
            <w:tcMar>
              <w:top w:w="0" w:type="dxa"/>
              <w:left w:w="108" w:type="dxa"/>
              <w:bottom w:w="0" w:type="dxa"/>
              <w:right w:w="108" w:type="dxa"/>
            </w:tcMar>
            <w:hideMark/>
          </w:tcPr>
          <w:p w:rsidR="001748A2" w:rsidRDefault="001748A2">
            <w:pPr>
              <w:pStyle w:val="NormalWeb"/>
              <w:spacing w:after="0"/>
              <w:jc w:val="center"/>
              <w:rPr>
                <w:b/>
                <w:bCs/>
              </w:rPr>
            </w:pPr>
            <w:r>
              <w:rPr>
                <w:noProof/>
              </w:rPr>
              <w:drawing>
                <wp:anchor distT="0" distB="0" distL="114300" distR="114300" simplePos="0" relativeHeight="251665408" behindDoc="0" locked="0" layoutInCell="1" allowOverlap="1">
                  <wp:simplePos x="0" y="0"/>
                  <wp:positionH relativeFrom="column">
                    <wp:posOffset>699770</wp:posOffset>
                  </wp:positionH>
                  <wp:positionV relativeFrom="paragraph">
                    <wp:posOffset>-2540</wp:posOffset>
                  </wp:positionV>
                  <wp:extent cx="200025" cy="190500"/>
                  <wp:effectExtent l="0" t="0" r="9525"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ight Arrow 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pic:spPr>
                      </pic:pic>
                    </a:graphicData>
                  </a:graphic>
                  <wp14:sizeRelH relativeFrom="page">
                    <wp14:pctWidth>0</wp14:pctWidth>
                  </wp14:sizeRelH>
                  <wp14:sizeRelV relativeFrom="page">
                    <wp14:pctHeight>0</wp14:pctHeight>
                  </wp14:sizeRelV>
                </wp:anchor>
              </w:drawing>
            </w:r>
          </w:p>
        </w:tc>
        <w:tc>
          <w:tcPr>
            <w:tcW w:w="999" w:type="dxa"/>
            <w:tcMar>
              <w:top w:w="0" w:type="dxa"/>
              <w:left w:w="108" w:type="dxa"/>
              <w:bottom w:w="0" w:type="dxa"/>
              <w:right w:w="108" w:type="dxa"/>
            </w:tcMar>
            <w:hideMark/>
          </w:tcPr>
          <w:p w:rsidR="001748A2" w:rsidRDefault="001748A2">
            <w:pPr>
              <w:pStyle w:val="NormalWeb"/>
              <w:spacing w:after="0"/>
            </w:pPr>
            <w:r>
              <w:t>19 lost</w:t>
            </w:r>
          </w:p>
        </w:tc>
      </w:tr>
      <w:tr w:rsidR="001748A2" w:rsidTr="001748A2">
        <w:trPr>
          <w:jc w:val="center"/>
        </w:trPr>
        <w:tc>
          <w:tcPr>
            <w:tcW w:w="2709" w:type="dxa"/>
            <w:tcMar>
              <w:top w:w="0" w:type="dxa"/>
              <w:left w:w="108" w:type="dxa"/>
              <w:bottom w:w="0" w:type="dxa"/>
              <w:right w:w="108" w:type="dxa"/>
            </w:tcMar>
            <w:hideMark/>
          </w:tcPr>
          <w:p w:rsidR="001748A2" w:rsidRDefault="001748A2">
            <w:pPr>
              <w:pStyle w:val="NormalWeb"/>
              <w:spacing w:after="0"/>
              <w:jc w:val="center"/>
              <w:rPr>
                <w:b/>
                <w:bCs/>
              </w:rPr>
            </w:pPr>
            <w:r>
              <w:rPr>
                <w:b/>
                <w:bCs/>
              </w:rPr>
              <w:t xml:space="preserve">7 </w:t>
            </w:r>
            <w:r>
              <w:t>Graduate</w:t>
            </w:r>
          </w:p>
        </w:tc>
        <w:tc>
          <w:tcPr>
            <w:tcW w:w="2610" w:type="dxa"/>
            <w:tcMar>
              <w:top w:w="0" w:type="dxa"/>
              <w:left w:w="108" w:type="dxa"/>
              <w:bottom w:w="0" w:type="dxa"/>
              <w:right w:w="108" w:type="dxa"/>
            </w:tcMar>
            <w:hideMark/>
          </w:tcPr>
          <w:p w:rsidR="001748A2" w:rsidRDefault="001748A2">
            <w:pPr>
              <w:pStyle w:val="NormalWeb"/>
              <w:spacing w:after="0"/>
              <w:jc w:val="center"/>
              <w:rPr>
                <w:b/>
                <w:bCs/>
              </w:rPr>
            </w:pPr>
            <w:r>
              <w:rPr>
                <w:b/>
                <w:bCs/>
              </w:rPr>
              <w:t>3</w:t>
            </w:r>
            <w:r>
              <w:t xml:space="preserve"> Graduate</w:t>
            </w:r>
          </w:p>
        </w:tc>
        <w:tc>
          <w:tcPr>
            <w:tcW w:w="999" w:type="dxa"/>
            <w:tcMar>
              <w:top w:w="0" w:type="dxa"/>
              <w:left w:w="108" w:type="dxa"/>
              <w:bottom w:w="0" w:type="dxa"/>
              <w:right w:w="108" w:type="dxa"/>
            </w:tcMar>
          </w:tcPr>
          <w:p w:rsidR="001748A2" w:rsidRDefault="001748A2">
            <w:pPr>
              <w:pStyle w:val="NormalWeb"/>
              <w:spacing w:after="0"/>
            </w:pPr>
          </w:p>
        </w:tc>
      </w:tr>
    </w:tbl>
    <w:p w:rsidR="001748A2" w:rsidRDefault="001748A2" w:rsidP="001748A2"/>
    <w:p w:rsidR="001748A2" w:rsidRDefault="001748A2" w:rsidP="001748A2">
      <w:pPr>
        <w:pStyle w:val="NormalWeb"/>
        <w:spacing w:after="0"/>
      </w:pPr>
    </w:p>
    <w:p w:rsidR="001748A2" w:rsidRDefault="001748A2" w:rsidP="001748A2">
      <w:pPr>
        <w:pStyle w:val="NormalWeb"/>
        <w:spacing w:after="0"/>
      </w:pPr>
      <w:r>
        <w:t xml:space="preserve">Working with the Arkansas Department of Education, develop and implement a communications and recruitment plan to better inform students from </w:t>
      </w:r>
      <w:r>
        <w:rPr>
          <w:u w:val="single"/>
        </w:rPr>
        <w:t>every</w:t>
      </w:r>
      <w:r>
        <w:t xml:space="preserve"> Arkansas high school of the many opportunities provided them by higher education and workforce training institutions in Arkansas.  Ease the burden of the cost for higher education institutions by providing guidance information online and through social media and through other channels available such as counselors, city chambers of commerce, workforce training sights, etc.  </w:t>
      </w:r>
    </w:p>
    <w:p w:rsidR="00FC4A45" w:rsidRDefault="00FC4A45">
      <w:bookmarkStart w:id="0" w:name="_GoBack"/>
      <w:bookmarkEnd w:id="0"/>
    </w:p>
    <w:sectPr w:rsidR="00FC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8A2"/>
    <w:rsid w:val="001748A2"/>
    <w:rsid w:val="00FC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AC405-2CCB-45C4-B352-930666E0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8A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48A2"/>
    <w:pPr>
      <w:spacing w:after="360"/>
    </w:pPr>
    <w:rPr>
      <w:rFonts w:ascii="Times New Roman" w:hAnsi="Times New Roman"/>
      <w:sz w:val="24"/>
      <w:szCs w:val="24"/>
    </w:rPr>
  </w:style>
  <w:style w:type="paragraph" w:customStyle="1" w:styleId="listparagraph">
    <w:name w:val="listparagraph"/>
    <w:basedOn w:val="Normal"/>
    <w:uiPriority w:val="99"/>
    <w:semiHidden/>
    <w:rsid w:val="001748A2"/>
    <w:pPr>
      <w:ind w:left="7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66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Lasiter</dc:creator>
  <cp:keywords/>
  <dc:description/>
  <cp:lastModifiedBy>Angela Lasiter</cp:lastModifiedBy>
  <cp:revision>1</cp:revision>
  <dcterms:created xsi:type="dcterms:W3CDTF">2015-12-31T16:17:00Z</dcterms:created>
  <dcterms:modified xsi:type="dcterms:W3CDTF">2015-12-31T16:17:00Z</dcterms:modified>
</cp:coreProperties>
</file>