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7BAE" w14:textId="77777777" w:rsidR="00D07FD8" w:rsidRDefault="00D07FD8"/>
    <w:tbl>
      <w:tblPr>
        <w:tblpPr w:leftFromText="180" w:rightFromText="180" w:bottomFromText="200" w:vertAnchor="text" w:horzAnchor="margin" w:tblpX="108" w:tblpY="196"/>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8"/>
        <w:gridCol w:w="130"/>
        <w:gridCol w:w="337"/>
        <w:gridCol w:w="2003"/>
        <w:gridCol w:w="427"/>
        <w:gridCol w:w="2380"/>
        <w:gridCol w:w="2680"/>
        <w:gridCol w:w="340"/>
        <w:gridCol w:w="1888"/>
        <w:gridCol w:w="113"/>
        <w:gridCol w:w="2229"/>
      </w:tblGrid>
      <w:tr w:rsidR="00A6411C" w:rsidRPr="00636F17" w14:paraId="3DC2E091" w14:textId="77777777" w:rsidTr="00D7276D">
        <w:trPr>
          <w:trHeight w:val="240"/>
        </w:trPr>
        <w:tc>
          <w:tcPr>
            <w:tcW w:w="14845" w:type="dxa"/>
            <w:gridSpan w:val="11"/>
            <w:tcBorders>
              <w:top w:val="single" w:sz="4" w:space="0" w:color="auto"/>
              <w:left w:val="single" w:sz="4" w:space="0" w:color="auto"/>
              <w:bottom w:val="single" w:sz="4" w:space="0" w:color="auto"/>
              <w:right w:val="single" w:sz="4" w:space="0" w:color="auto"/>
            </w:tcBorders>
            <w:shd w:val="clear" w:color="auto" w:fill="6FA0C0" w:themeFill="text2" w:themeFillTint="99"/>
            <w:hideMark/>
          </w:tcPr>
          <w:p w14:paraId="3F3DB7D9" w14:textId="254F7B5B" w:rsidR="00A6411C" w:rsidRDefault="009913CC" w:rsidP="009913CC">
            <w:pPr>
              <w:tabs>
                <w:tab w:val="left" w:pos="285"/>
                <w:tab w:val="center" w:pos="7314"/>
              </w:tabs>
              <w:rPr>
                <w:rFonts w:eastAsia="Calibri"/>
                <w:b/>
                <w:sz w:val="24"/>
                <w:szCs w:val="24"/>
              </w:rPr>
            </w:pPr>
            <w:r>
              <w:rPr>
                <w:rFonts w:eastAsia="Calibri"/>
                <w:b/>
                <w:sz w:val="24"/>
                <w:szCs w:val="24"/>
                <w:shd w:val="clear" w:color="auto" w:fill="6FA0C0" w:themeFill="text2" w:themeFillTint="99"/>
              </w:rPr>
              <w:tab/>
            </w:r>
            <w:r>
              <w:rPr>
                <w:rFonts w:eastAsia="Calibri"/>
                <w:b/>
                <w:sz w:val="24"/>
                <w:szCs w:val="24"/>
                <w:shd w:val="clear" w:color="auto" w:fill="6FA0C0" w:themeFill="text2" w:themeFillTint="99"/>
              </w:rPr>
              <w:tab/>
            </w:r>
            <w:r w:rsidR="00A6411C" w:rsidRPr="00814E93">
              <w:rPr>
                <w:rFonts w:eastAsia="Calibri"/>
                <w:b/>
                <w:sz w:val="24"/>
                <w:szCs w:val="24"/>
                <w:shd w:val="clear" w:color="auto" w:fill="6FA0C0" w:themeFill="text2" w:themeFillTint="99"/>
              </w:rPr>
              <w:t>PHILLIPS COMMUNITY COLLEGE OF THE UNIVE</w:t>
            </w:r>
            <w:r w:rsidR="00A6411C">
              <w:rPr>
                <w:rFonts w:eastAsia="Calibri"/>
                <w:b/>
                <w:sz w:val="24"/>
                <w:szCs w:val="24"/>
              </w:rPr>
              <w:t xml:space="preserve">RSITY OF ARKANSAS </w:t>
            </w:r>
            <w:r w:rsidR="0066430B">
              <w:rPr>
                <w:rFonts w:eastAsia="Calibri"/>
                <w:b/>
                <w:sz w:val="24"/>
                <w:szCs w:val="24"/>
              </w:rPr>
              <w:t>-</w:t>
            </w:r>
            <w:r w:rsidR="00A6411C">
              <w:rPr>
                <w:rFonts w:eastAsia="Calibri"/>
                <w:b/>
                <w:sz w:val="24"/>
                <w:szCs w:val="24"/>
              </w:rPr>
              <w:t>ALIGNING INITIATIVES</w:t>
            </w:r>
          </w:p>
        </w:tc>
      </w:tr>
      <w:tr w:rsidR="004935A3" w:rsidRPr="00636F17" w14:paraId="6D3AAEB0" w14:textId="77777777" w:rsidTr="00D7276D">
        <w:trPr>
          <w:trHeight w:val="1052"/>
        </w:trPr>
        <w:tc>
          <w:tcPr>
            <w:tcW w:w="14845" w:type="dxa"/>
            <w:gridSpan w:val="11"/>
            <w:tcBorders>
              <w:top w:val="single" w:sz="4" w:space="0" w:color="auto"/>
              <w:left w:val="single" w:sz="4" w:space="0" w:color="auto"/>
              <w:bottom w:val="single" w:sz="4" w:space="0" w:color="auto"/>
              <w:right w:val="single" w:sz="4" w:space="0" w:color="auto"/>
            </w:tcBorders>
            <w:shd w:val="clear" w:color="auto" w:fill="CFDFEA" w:themeFill="text2" w:themeFillTint="33"/>
          </w:tcPr>
          <w:p w14:paraId="782DE141" w14:textId="77777777" w:rsidR="004935A3" w:rsidRPr="004935A3" w:rsidRDefault="004935A3" w:rsidP="00A503A8">
            <w:pPr>
              <w:rPr>
                <w:color w:val="auto"/>
                <w:kern w:val="0"/>
                <w:sz w:val="22"/>
                <w:szCs w:val="22"/>
              </w:rPr>
            </w:pPr>
            <w:r w:rsidRPr="004935A3">
              <w:rPr>
                <w:b/>
                <w:color w:val="auto"/>
                <w:kern w:val="0"/>
                <w:sz w:val="22"/>
                <w:szCs w:val="22"/>
              </w:rPr>
              <w:t>Mission</w:t>
            </w:r>
            <w:r w:rsidRPr="004935A3">
              <w:rPr>
                <w:color w:val="auto"/>
                <w:kern w:val="0"/>
                <w:sz w:val="22"/>
                <w:szCs w:val="22"/>
              </w:rPr>
              <w:t>: PCCUA is a multi-campus, two-year college serving the communities of Eastern Arkansas. The College is committed to helping every student succeed. We p</w:t>
            </w:r>
            <w:r w:rsidR="00814E93" w:rsidRPr="005525E0">
              <w:rPr>
                <w:color w:val="auto"/>
                <w:kern w:val="0"/>
                <w:sz w:val="22"/>
                <w:szCs w:val="22"/>
              </w:rPr>
              <w:t xml:space="preserve">rovide high-quality, accessible </w:t>
            </w:r>
            <w:r w:rsidRPr="004935A3">
              <w:rPr>
                <w:color w:val="auto"/>
                <w:kern w:val="0"/>
                <w:sz w:val="22"/>
                <w:szCs w:val="22"/>
              </w:rPr>
              <w:t>educational opportunities and skills development to promote life-long learning, and we engage in the lives of our students and our community.</w:t>
            </w:r>
            <w:r w:rsidR="00262F39">
              <w:rPr>
                <w:color w:val="auto"/>
                <w:kern w:val="0"/>
                <w:sz w:val="22"/>
                <w:szCs w:val="22"/>
              </w:rPr>
              <w:br/>
            </w:r>
            <w:r w:rsidRPr="005525E0">
              <w:rPr>
                <w:b/>
                <w:color w:val="auto"/>
                <w:kern w:val="0"/>
                <w:sz w:val="22"/>
                <w:szCs w:val="22"/>
              </w:rPr>
              <w:t xml:space="preserve">Core Values </w:t>
            </w:r>
            <w:r w:rsidRPr="005525E0">
              <w:rPr>
                <w:color w:val="auto"/>
                <w:kern w:val="0"/>
                <w:sz w:val="22"/>
                <w:szCs w:val="22"/>
              </w:rPr>
              <w:t xml:space="preserve">(Summarized)  Student Success, the Power of Education, </w:t>
            </w:r>
            <w:r w:rsidRPr="004935A3">
              <w:rPr>
                <w:color w:val="auto"/>
                <w:kern w:val="0"/>
                <w:sz w:val="22"/>
                <w:szCs w:val="22"/>
              </w:rPr>
              <w:t>Diversity</w:t>
            </w:r>
          </w:p>
          <w:p w14:paraId="13277EDD" w14:textId="77777777" w:rsidR="004935A3" w:rsidRPr="004935A3" w:rsidRDefault="004935A3" w:rsidP="00A503A8">
            <w:pPr>
              <w:spacing w:after="200" w:line="276" w:lineRule="auto"/>
              <w:rPr>
                <w:rFonts w:eastAsiaTheme="majorEastAsia"/>
                <w:b/>
                <w:bCs/>
                <w:color w:val="auto"/>
                <w:kern w:val="0"/>
                <w:sz w:val="18"/>
                <w:szCs w:val="18"/>
              </w:rPr>
            </w:pPr>
            <w:r w:rsidRPr="004935A3">
              <w:rPr>
                <w:rFonts w:eastAsiaTheme="majorEastAsia"/>
                <w:b/>
                <w:bCs/>
                <w:color w:val="auto"/>
                <w:kern w:val="0"/>
                <w:sz w:val="22"/>
                <w:szCs w:val="22"/>
              </w:rPr>
              <w:t>Core Competencies (STACC)</w:t>
            </w:r>
            <w:r w:rsidRPr="005525E0">
              <w:rPr>
                <w:rFonts w:eastAsiaTheme="majorEastAsia"/>
                <w:b/>
                <w:bCs/>
                <w:color w:val="auto"/>
                <w:kern w:val="0"/>
                <w:sz w:val="22"/>
                <w:szCs w:val="22"/>
              </w:rPr>
              <w:t xml:space="preserve">: </w:t>
            </w:r>
            <w:r w:rsidRPr="004935A3">
              <w:rPr>
                <w:rFonts w:eastAsiaTheme="minorHAnsi"/>
                <w:color w:val="auto"/>
                <w:kern w:val="0"/>
                <w:sz w:val="22"/>
                <w:szCs w:val="22"/>
              </w:rPr>
              <w:t>Social and Civic Responsibility</w:t>
            </w:r>
            <w:r w:rsidRPr="005525E0">
              <w:rPr>
                <w:rFonts w:eastAsiaTheme="minorHAnsi"/>
                <w:color w:val="auto"/>
                <w:kern w:val="0"/>
                <w:sz w:val="22"/>
                <w:szCs w:val="22"/>
              </w:rPr>
              <w:t>,</w:t>
            </w:r>
            <w:r w:rsidRPr="005525E0">
              <w:rPr>
                <w:rFonts w:eastAsiaTheme="majorEastAsia"/>
                <w:b/>
                <w:bCs/>
                <w:color w:val="auto"/>
                <w:kern w:val="0"/>
                <w:sz w:val="22"/>
                <w:szCs w:val="22"/>
              </w:rPr>
              <w:t xml:space="preserve"> </w:t>
            </w:r>
            <w:r w:rsidRPr="004935A3">
              <w:rPr>
                <w:rFonts w:eastAsiaTheme="minorHAnsi"/>
                <w:color w:val="auto"/>
                <w:kern w:val="0"/>
                <w:sz w:val="22"/>
                <w:szCs w:val="22"/>
              </w:rPr>
              <w:t>Technology Utilization</w:t>
            </w:r>
            <w:r w:rsidRPr="005525E0">
              <w:rPr>
                <w:rFonts w:eastAsiaTheme="majorEastAsia"/>
                <w:b/>
                <w:bCs/>
                <w:color w:val="auto"/>
                <w:kern w:val="0"/>
                <w:sz w:val="22"/>
                <w:szCs w:val="22"/>
              </w:rPr>
              <w:t xml:space="preserve">, </w:t>
            </w:r>
            <w:r w:rsidRPr="004935A3">
              <w:rPr>
                <w:rFonts w:eastAsiaTheme="minorHAnsi"/>
                <w:color w:val="auto"/>
                <w:kern w:val="0"/>
                <w:sz w:val="22"/>
                <w:szCs w:val="22"/>
              </w:rPr>
              <w:t>Analytical and Critical Thinking</w:t>
            </w:r>
            <w:r w:rsidRPr="005525E0">
              <w:rPr>
                <w:rFonts w:eastAsiaTheme="minorHAnsi"/>
                <w:color w:val="auto"/>
                <w:kern w:val="0"/>
                <w:sz w:val="22"/>
                <w:szCs w:val="22"/>
              </w:rPr>
              <w:t xml:space="preserve">, Communication, </w:t>
            </w:r>
            <w:r w:rsidRPr="004935A3">
              <w:rPr>
                <w:rFonts w:eastAsiaTheme="minorHAnsi"/>
                <w:color w:val="auto"/>
                <w:kern w:val="0"/>
                <w:sz w:val="22"/>
                <w:szCs w:val="22"/>
              </w:rPr>
              <w:t>Cultural Awareness</w:t>
            </w:r>
          </w:p>
        </w:tc>
      </w:tr>
      <w:tr w:rsidR="00A6411C" w:rsidRPr="00636F17" w14:paraId="4074371D" w14:textId="77777777" w:rsidTr="00D7276D">
        <w:trPr>
          <w:trHeight w:val="710"/>
        </w:trPr>
        <w:tc>
          <w:tcPr>
            <w:tcW w:w="2448" w:type="dxa"/>
            <w:gridSpan w:val="2"/>
            <w:tcBorders>
              <w:top w:val="single" w:sz="4" w:space="0" w:color="auto"/>
              <w:left w:val="single" w:sz="4" w:space="0" w:color="auto"/>
              <w:bottom w:val="single" w:sz="4" w:space="0" w:color="auto"/>
              <w:right w:val="single" w:sz="4" w:space="0" w:color="auto"/>
            </w:tcBorders>
            <w:shd w:val="clear" w:color="auto" w:fill="6FA0C0" w:themeFill="text2" w:themeFillTint="99"/>
            <w:hideMark/>
          </w:tcPr>
          <w:p w14:paraId="7F4C7DEF" w14:textId="77777777" w:rsidR="00A6411C" w:rsidRPr="00636F17" w:rsidRDefault="00DA7B15" w:rsidP="000F59E4">
            <w:pPr>
              <w:jc w:val="center"/>
              <w:rPr>
                <w:rFonts w:eastAsia="Calibri"/>
                <w:b/>
              </w:rPr>
            </w:pPr>
            <w:r>
              <w:rPr>
                <w:rFonts w:eastAsia="Calibri"/>
                <w:b/>
              </w:rPr>
              <w:t>Achieving the Dream</w:t>
            </w:r>
            <w:r w:rsidR="00A6411C" w:rsidRPr="00636F17">
              <w:rPr>
                <w:rFonts w:eastAsia="Calibri"/>
                <w:b/>
              </w:rPr>
              <w:t xml:space="preserve"> (ATD)</w:t>
            </w:r>
            <w:r w:rsidR="00676318">
              <w:rPr>
                <w:rFonts w:eastAsia="Calibri"/>
                <w:b/>
              </w:rPr>
              <w:br/>
              <w:t>2007-Continuing</w:t>
            </w:r>
          </w:p>
        </w:tc>
        <w:tc>
          <w:tcPr>
            <w:tcW w:w="2767" w:type="dxa"/>
            <w:gridSpan w:val="3"/>
            <w:tcBorders>
              <w:top w:val="single" w:sz="4" w:space="0" w:color="auto"/>
              <w:left w:val="single" w:sz="4" w:space="0" w:color="auto"/>
              <w:bottom w:val="single" w:sz="4" w:space="0" w:color="auto"/>
              <w:right w:val="single" w:sz="4" w:space="0" w:color="auto"/>
            </w:tcBorders>
            <w:shd w:val="clear" w:color="auto" w:fill="6FA0C0" w:themeFill="text2" w:themeFillTint="99"/>
            <w:hideMark/>
          </w:tcPr>
          <w:p w14:paraId="34883E86" w14:textId="77777777" w:rsidR="00A6411C" w:rsidRPr="00636F17" w:rsidRDefault="00676318" w:rsidP="000F59E4">
            <w:pPr>
              <w:jc w:val="center"/>
              <w:rPr>
                <w:rFonts w:eastAsia="Calibri"/>
                <w:b/>
              </w:rPr>
            </w:pPr>
            <w:r>
              <w:rPr>
                <w:rFonts w:eastAsia="Calibri"/>
                <w:b/>
              </w:rPr>
              <w:t>Working Family Success Network (WFSNCC)</w:t>
            </w:r>
            <w:r>
              <w:rPr>
                <w:rFonts w:eastAsia="Calibri"/>
                <w:b/>
              </w:rPr>
              <w:br/>
              <w:t xml:space="preserve"> 2011-2015</w:t>
            </w:r>
          </w:p>
        </w:tc>
        <w:tc>
          <w:tcPr>
            <w:tcW w:w="2380" w:type="dxa"/>
            <w:tcBorders>
              <w:top w:val="single" w:sz="4" w:space="0" w:color="auto"/>
              <w:left w:val="single" w:sz="4" w:space="0" w:color="auto"/>
              <w:bottom w:val="single" w:sz="4" w:space="0" w:color="auto"/>
              <w:right w:val="single" w:sz="4" w:space="0" w:color="auto"/>
            </w:tcBorders>
            <w:shd w:val="clear" w:color="auto" w:fill="6FA0C0" w:themeFill="text2" w:themeFillTint="99"/>
          </w:tcPr>
          <w:p w14:paraId="69D36887" w14:textId="77777777" w:rsidR="00A6411C" w:rsidRPr="004935A3" w:rsidRDefault="004935A3" w:rsidP="00660342">
            <w:pPr>
              <w:jc w:val="center"/>
              <w:rPr>
                <w:rFonts w:eastAsia="Calibri"/>
                <w:b/>
              </w:rPr>
            </w:pPr>
            <w:r w:rsidRPr="004935A3">
              <w:rPr>
                <w:rFonts w:eastAsia="Calibri"/>
                <w:b/>
              </w:rPr>
              <w:t>Arkansas Guided Pathways</w:t>
            </w:r>
            <w:r w:rsidR="00660342">
              <w:rPr>
                <w:rFonts w:eastAsia="Calibri"/>
                <w:b/>
              </w:rPr>
              <w:br/>
              <w:t>2014-2017</w:t>
            </w:r>
          </w:p>
        </w:tc>
        <w:tc>
          <w:tcPr>
            <w:tcW w:w="2680" w:type="dxa"/>
            <w:tcBorders>
              <w:top w:val="single" w:sz="4" w:space="0" w:color="auto"/>
              <w:left w:val="single" w:sz="4" w:space="0" w:color="auto"/>
              <w:bottom w:val="single" w:sz="4" w:space="0" w:color="auto"/>
              <w:right w:val="single" w:sz="4" w:space="0" w:color="auto"/>
            </w:tcBorders>
            <w:shd w:val="clear" w:color="auto" w:fill="6FA0C0" w:themeFill="text2" w:themeFillTint="99"/>
          </w:tcPr>
          <w:p w14:paraId="6E5DF8AE" w14:textId="4912C9EC" w:rsidR="00A6411C" w:rsidRPr="00636F17" w:rsidRDefault="00DA7B15" w:rsidP="004935A3">
            <w:pPr>
              <w:jc w:val="center"/>
              <w:rPr>
                <w:rFonts w:eastAsia="Calibri"/>
                <w:b/>
              </w:rPr>
            </w:pPr>
            <w:r>
              <w:rPr>
                <w:rFonts w:eastAsia="Calibri"/>
                <w:b/>
              </w:rPr>
              <w:t xml:space="preserve">Career Pathways </w:t>
            </w:r>
            <w:r w:rsidR="004935A3">
              <w:rPr>
                <w:rFonts w:eastAsia="Calibri"/>
                <w:b/>
              </w:rPr>
              <w:br/>
              <w:t>20</w:t>
            </w:r>
            <w:r w:rsidR="0032439F">
              <w:rPr>
                <w:rFonts w:eastAsia="Calibri"/>
                <w:b/>
              </w:rPr>
              <w:t>0</w:t>
            </w:r>
            <w:r w:rsidR="004935A3">
              <w:rPr>
                <w:rFonts w:eastAsia="Calibri"/>
                <w:b/>
              </w:rPr>
              <w:t>5-Present</w:t>
            </w:r>
          </w:p>
        </w:tc>
        <w:tc>
          <w:tcPr>
            <w:tcW w:w="2228" w:type="dxa"/>
            <w:gridSpan w:val="2"/>
            <w:tcBorders>
              <w:top w:val="single" w:sz="4" w:space="0" w:color="auto"/>
              <w:left w:val="single" w:sz="4" w:space="0" w:color="auto"/>
              <w:bottom w:val="single" w:sz="4" w:space="0" w:color="auto"/>
              <w:right w:val="single" w:sz="4" w:space="0" w:color="auto"/>
            </w:tcBorders>
            <w:shd w:val="clear" w:color="auto" w:fill="6FA0C0" w:themeFill="text2" w:themeFillTint="99"/>
          </w:tcPr>
          <w:p w14:paraId="261A0BCC" w14:textId="77777777" w:rsidR="00A6411C" w:rsidRPr="00636F17" w:rsidRDefault="00A95FA5" w:rsidP="000F59E4">
            <w:pPr>
              <w:jc w:val="center"/>
              <w:rPr>
                <w:rFonts w:eastAsia="Calibri"/>
                <w:b/>
              </w:rPr>
            </w:pPr>
            <w:r>
              <w:rPr>
                <w:rFonts w:eastAsia="Calibri"/>
                <w:b/>
              </w:rPr>
              <w:t>Title III</w:t>
            </w:r>
            <w:r w:rsidR="00660342">
              <w:rPr>
                <w:rFonts w:eastAsia="Calibri"/>
                <w:b/>
              </w:rPr>
              <w:br/>
              <w:t>2013-18</w:t>
            </w:r>
          </w:p>
        </w:tc>
        <w:tc>
          <w:tcPr>
            <w:tcW w:w="2342" w:type="dxa"/>
            <w:gridSpan w:val="2"/>
            <w:tcBorders>
              <w:top w:val="single" w:sz="4" w:space="0" w:color="auto"/>
              <w:left w:val="single" w:sz="4" w:space="0" w:color="auto"/>
              <w:bottom w:val="single" w:sz="4" w:space="0" w:color="auto"/>
              <w:right w:val="single" w:sz="4" w:space="0" w:color="auto"/>
            </w:tcBorders>
            <w:shd w:val="clear" w:color="auto" w:fill="6FA0C0" w:themeFill="text2" w:themeFillTint="99"/>
          </w:tcPr>
          <w:p w14:paraId="504349D4" w14:textId="4ACEAE0B" w:rsidR="00A6411C" w:rsidRDefault="00DA7B15" w:rsidP="000F59E4">
            <w:pPr>
              <w:jc w:val="center"/>
              <w:rPr>
                <w:rFonts w:eastAsia="Calibri"/>
                <w:b/>
              </w:rPr>
            </w:pPr>
            <w:r>
              <w:rPr>
                <w:rFonts w:eastAsia="Calibri"/>
                <w:b/>
              </w:rPr>
              <w:t xml:space="preserve">Student Support Services </w:t>
            </w:r>
            <w:r w:rsidR="00A6411C">
              <w:rPr>
                <w:rFonts w:eastAsia="Calibri"/>
                <w:b/>
              </w:rPr>
              <w:t>(SSS)</w:t>
            </w:r>
            <w:r w:rsidR="00E320D8">
              <w:rPr>
                <w:rFonts w:eastAsia="Calibri"/>
                <w:b/>
              </w:rPr>
              <w:br/>
            </w:r>
            <w:bookmarkStart w:id="0" w:name="_GoBack"/>
            <w:bookmarkEnd w:id="0"/>
          </w:p>
        </w:tc>
      </w:tr>
      <w:tr w:rsidR="00A6411C" w14:paraId="4A9859F3" w14:textId="77777777" w:rsidTr="00D7276D">
        <w:trPr>
          <w:trHeight w:val="5408"/>
        </w:trPr>
        <w:tc>
          <w:tcPr>
            <w:tcW w:w="2448" w:type="dxa"/>
            <w:gridSpan w:val="2"/>
            <w:tcBorders>
              <w:top w:val="single" w:sz="4" w:space="0" w:color="auto"/>
              <w:left w:val="single" w:sz="4" w:space="0" w:color="auto"/>
              <w:bottom w:val="single" w:sz="4" w:space="0" w:color="auto"/>
              <w:right w:val="single" w:sz="4" w:space="0" w:color="auto"/>
            </w:tcBorders>
            <w:hideMark/>
          </w:tcPr>
          <w:p w14:paraId="457318FE" w14:textId="77777777" w:rsidR="009C6648" w:rsidRPr="009C6648" w:rsidRDefault="009C6648" w:rsidP="009C6648">
            <w:pPr>
              <w:spacing w:after="200" w:line="276" w:lineRule="auto"/>
              <w:contextualSpacing/>
              <w:rPr>
                <w:rFonts w:eastAsiaTheme="minorHAnsi"/>
                <w:color w:val="auto"/>
                <w:kern w:val="0"/>
              </w:rPr>
            </w:pPr>
            <w:r w:rsidRPr="009C6648">
              <w:rPr>
                <w:rFonts w:eastAsiaTheme="minorHAnsi"/>
                <w:color w:val="auto"/>
                <w:kern w:val="0"/>
              </w:rPr>
              <w:t>Achieving the Dream is a national initiative to help more community colle</w:t>
            </w:r>
            <w:r w:rsidR="00814E93" w:rsidRPr="005525E0">
              <w:rPr>
                <w:rFonts w:eastAsiaTheme="minorHAnsi"/>
                <w:color w:val="auto"/>
                <w:kern w:val="0"/>
              </w:rPr>
              <w:t>ge students succeed. It</w:t>
            </w:r>
            <w:r w:rsidR="000E1E94" w:rsidRPr="005525E0">
              <w:rPr>
                <w:rFonts w:eastAsiaTheme="minorHAnsi"/>
                <w:color w:val="auto"/>
                <w:kern w:val="0"/>
              </w:rPr>
              <w:t xml:space="preserve"> focuse</w:t>
            </w:r>
            <w:r w:rsidR="00814E93" w:rsidRPr="005525E0">
              <w:rPr>
                <w:rFonts w:eastAsiaTheme="minorHAnsi"/>
                <w:color w:val="auto"/>
                <w:kern w:val="0"/>
              </w:rPr>
              <w:t>s</w:t>
            </w:r>
            <w:r w:rsidRPr="009C6648">
              <w:rPr>
                <w:rFonts w:eastAsiaTheme="minorHAnsi"/>
                <w:color w:val="auto"/>
                <w:kern w:val="0"/>
              </w:rPr>
              <w:t xml:space="preserve"> on student groups that traditionally have faced significant barriers to success, including students of color and low-income students.</w:t>
            </w:r>
          </w:p>
          <w:p w14:paraId="6B92B0B9" w14:textId="77777777" w:rsidR="00A6411C" w:rsidRPr="00C858E6" w:rsidRDefault="009C6648" w:rsidP="009C6648">
            <w:pPr>
              <w:rPr>
                <w:rFonts w:eastAsia="Calibri"/>
              </w:rPr>
            </w:pPr>
            <w:r w:rsidRPr="00C858E6">
              <w:rPr>
                <w:rFonts w:eastAsiaTheme="minorHAnsi"/>
                <w:color w:val="auto"/>
                <w:kern w:val="0"/>
              </w:rPr>
              <w:t>Funded by the Winthrop Rockefeller Foundation</w:t>
            </w:r>
          </w:p>
        </w:tc>
        <w:tc>
          <w:tcPr>
            <w:tcW w:w="2767" w:type="dxa"/>
            <w:gridSpan w:val="3"/>
            <w:tcBorders>
              <w:top w:val="single" w:sz="4" w:space="0" w:color="auto"/>
              <w:left w:val="single" w:sz="4" w:space="0" w:color="auto"/>
              <w:bottom w:val="single" w:sz="4" w:space="0" w:color="auto"/>
              <w:right w:val="single" w:sz="4" w:space="0" w:color="auto"/>
            </w:tcBorders>
            <w:hideMark/>
          </w:tcPr>
          <w:p w14:paraId="75928AFC" w14:textId="77777777" w:rsidR="00A6411C" w:rsidRPr="00814E93" w:rsidRDefault="00814E93" w:rsidP="00814E93">
            <w:pPr>
              <w:rPr>
                <w:sz w:val="22"/>
                <w:szCs w:val="22"/>
              </w:rPr>
            </w:pPr>
            <w:r w:rsidRPr="005525E0">
              <w:rPr>
                <w:rFonts w:eastAsiaTheme="minorEastAsia"/>
                <w:color w:val="000000" w:themeColor="text1"/>
                <w:kern w:val="24"/>
              </w:rPr>
              <w:t>Designed to help</w:t>
            </w:r>
            <w:r w:rsidR="00660342" w:rsidRPr="005525E0">
              <w:rPr>
                <w:rFonts w:eastAsiaTheme="minorEastAsia"/>
                <w:color w:val="000000" w:themeColor="text1"/>
                <w:kern w:val="24"/>
              </w:rPr>
              <w:t xml:space="preserve"> families and individuals get </w:t>
            </w:r>
            <w:r w:rsidRPr="005525E0">
              <w:rPr>
                <w:rFonts w:eastAsiaTheme="minorEastAsia"/>
                <w:color w:val="000000" w:themeColor="text1"/>
                <w:kern w:val="24"/>
              </w:rPr>
              <w:t>jobs, c</w:t>
            </w:r>
            <w:r w:rsidR="00660342" w:rsidRPr="005525E0">
              <w:rPr>
                <w:rFonts w:eastAsiaTheme="minorEastAsia"/>
                <w:color w:val="000000" w:themeColor="text1"/>
                <w:kern w:val="24"/>
              </w:rPr>
              <w:t>omplete their education or training, improve their credit, and have enough income to pay their bills and to save for the future.</w:t>
            </w:r>
            <w:r w:rsidR="00660342" w:rsidRPr="005525E0">
              <w:t xml:space="preserve"> </w:t>
            </w:r>
            <w:r w:rsidRPr="005525E0">
              <w:rPr>
                <w:rFonts w:eastAsiaTheme="minorEastAsia"/>
                <w:color w:val="000000" w:themeColor="text1"/>
                <w:kern w:val="24"/>
              </w:rPr>
              <w:t>It</w:t>
            </w:r>
            <w:r w:rsidR="00660342" w:rsidRPr="005525E0">
              <w:rPr>
                <w:rFonts w:eastAsiaTheme="minorEastAsia"/>
                <w:color w:val="000000" w:themeColor="text1"/>
                <w:kern w:val="24"/>
              </w:rPr>
              <w:t xml:space="preserve"> provides a blueprint for a new way of offering support services to help lower-income people get work and improve their financial security. </w:t>
            </w:r>
            <w:r w:rsidRPr="005525E0">
              <w:rPr>
                <w:rFonts w:eastAsiaTheme="minorEastAsia"/>
                <w:color w:val="000000" w:themeColor="text1"/>
                <w:kern w:val="24"/>
              </w:rPr>
              <w:t xml:space="preserve">Services from three </w:t>
            </w:r>
            <w:r w:rsidR="00660342" w:rsidRPr="005525E0">
              <w:rPr>
                <w:rFonts w:eastAsiaTheme="minorEastAsia"/>
                <w:color w:val="000000" w:themeColor="text1"/>
                <w:kern w:val="24"/>
              </w:rPr>
              <w:t>key services: financial coaching and education, employment, improved access to public benefits.</w:t>
            </w:r>
            <w:r w:rsidRPr="005525E0">
              <w:rPr>
                <w:rFonts w:eastAsiaTheme="minorEastAsia"/>
                <w:color w:val="000000" w:themeColor="text1"/>
                <w:kern w:val="24"/>
              </w:rPr>
              <w:br/>
              <w:t xml:space="preserve">Funded by ATD, </w:t>
            </w:r>
            <w:proofErr w:type="spellStart"/>
            <w:r w:rsidRPr="005525E0">
              <w:rPr>
                <w:rFonts w:eastAsiaTheme="minorEastAsia"/>
                <w:color w:val="000000" w:themeColor="text1"/>
                <w:kern w:val="24"/>
              </w:rPr>
              <w:t>Kresge</w:t>
            </w:r>
            <w:proofErr w:type="spellEnd"/>
            <w:r w:rsidRPr="005525E0">
              <w:rPr>
                <w:rFonts w:eastAsiaTheme="minorEastAsia"/>
                <w:color w:val="000000" w:themeColor="text1"/>
                <w:kern w:val="24"/>
              </w:rPr>
              <w:t>, Kello</w:t>
            </w:r>
            <w:r w:rsidR="005525E0" w:rsidRPr="005525E0">
              <w:rPr>
                <w:rFonts w:eastAsiaTheme="minorEastAsia"/>
                <w:color w:val="000000" w:themeColor="text1"/>
                <w:kern w:val="24"/>
              </w:rPr>
              <w:t>g</w:t>
            </w:r>
            <w:r w:rsidRPr="005525E0">
              <w:rPr>
                <w:rFonts w:eastAsiaTheme="minorEastAsia"/>
                <w:color w:val="000000" w:themeColor="text1"/>
                <w:kern w:val="24"/>
              </w:rPr>
              <w:t>g, Casey, others</w:t>
            </w:r>
            <w:r>
              <w:rPr>
                <w:rFonts w:eastAsiaTheme="minorEastAsia"/>
                <w:color w:val="000000" w:themeColor="text1"/>
                <w:kern w:val="24"/>
                <w:sz w:val="22"/>
                <w:szCs w:val="22"/>
              </w:rPr>
              <w:t xml:space="preserve">. </w:t>
            </w:r>
            <w:r w:rsidR="00660342" w:rsidRPr="00814E93">
              <w:rPr>
                <w:rFonts w:eastAsiaTheme="minorEastAsia"/>
                <w:color w:val="000000" w:themeColor="text1"/>
                <w:kern w:val="24"/>
                <w:sz w:val="22"/>
                <w:szCs w:val="22"/>
              </w:rPr>
              <w:t xml:space="preserve"> </w:t>
            </w:r>
          </w:p>
        </w:tc>
        <w:tc>
          <w:tcPr>
            <w:tcW w:w="2380" w:type="dxa"/>
            <w:tcBorders>
              <w:top w:val="single" w:sz="4" w:space="0" w:color="auto"/>
              <w:left w:val="single" w:sz="4" w:space="0" w:color="auto"/>
              <w:bottom w:val="single" w:sz="4" w:space="0" w:color="auto"/>
              <w:right w:val="single" w:sz="4" w:space="0" w:color="auto"/>
            </w:tcBorders>
          </w:tcPr>
          <w:p w14:paraId="11EAE767" w14:textId="77777777" w:rsidR="00A6411C" w:rsidRPr="005525E0" w:rsidRDefault="00660342" w:rsidP="005525E0">
            <w:r w:rsidRPr="005525E0">
              <w:t xml:space="preserve">Arkansas Guided Pathways- redesigned academic programs and support services to create more clearly structured and educationally coherent program pathways to student end goals, with built-in progress monitoring, feedback and support at each step along the way.  PCCUA uses Individual Career Plans (ICP), career exploration, intentional advising, and multiple supports to promote student success. </w:t>
            </w:r>
          </w:p>
        </w:tc>
        <w:tc>
          <w:tcPr>
            <w:tcW w:w="2680" w:type="dxa"/>
            <w:tcBorders>
              <w:top w:val="single" w:sz="4" w:space="0" w:color="auto"/>
              <w:left w:val="single" w:sz="4" w:space="0" w:color="auto"/>
              <w:bottom w:val="single" w:sz="4" w:space="0" w:color="auto"/>
              <w:right w:val="single" w:sz="4" w:space="0" w:color="auto"/>
            </w:tcBorders>
          </w:tcPr>
          <w:p w14:paraId="7BBC05A6" w14:textId="77777777" w:rsidR="009C6648" w:rsidRPr="009C6648" w:rsidRDefault="009C6648" w:rsidP="009C6648">
            <w:pPr>
              <w:spacing w:after="200" w:line="276" w:lineRule="auto"/>
              <w:contextualSpacing/>
              <w:rPr>
                <w:rFonts w:eastAsiaTheme="minorHAnsi"/>
                <w:color w:val="auto"/>
                <w:kern w:val="0"/>
              </w:rPr>
            </w:pPr>
            <w:r w:rsidRPr="009C6648">
              <w:rPr>
                <w:rFonts w:eastAsiaTheme="minorHAnsi"/>
                <w:color w:val="auto"/>
                <w:kern w:val="0"/>
              </w:rPr>
              <w:t>The expanding of existing employment/education, income and work support opportunities offered through the Career Pathways Center for Working Families.  The Center is available on a</w:t>
            </w:r>
            <w:r w:rsidR="004935A3" w:rsidRPr="005525E0">
              <w:rPr>
                <w:rFonts w:eastAsiaTheme="minorHAnsi"/>
                <w:color w:val="auto"/>
                <w:kern w:val="0"/>
              </w:rPr>
              <w:t xml:space="preserve">ll three campuses and </w:t>
            </w:r>
            <w:r w:rsidRPr="009C6648">
              <w:rPr>
                <w:rFonts w:eastAsiaTheme="minorHAnsi"/>
                <w:color w:val="auto"/>
                <w:kern w:val="0"/>
              </w:rPr>
              <w:t>expands existing employment education opportunities ava</w:t>
            </w:r>
            <w:r w:rsidR="004935A3" w:rsidRPr="005525E0">
              <w:rPr>
                <w:rFonts w:eastAsiaTheme="minorHAnsi"/>
                <w:color w:val="auto"/>
                <w:kern w:val="0"/>
              </w:rPr>
              <w:t xml:space="preserve">ilable.  CP </w:t>
            </w:r>
            <w:r w:rsidRPr="009C6648">
              <w:rPr>
                <w:rFonts w:eastAsiaTheme="minorHAnsi"/>
                <w:color w:val="auto"/>
                <w:kern w:val="0"/>
              </w:rPr>
              <w:t xml:space="preserve">has increased the number of students served.  A mandatory Financial Education Program for students enrolled in Basic Writing II and Freshman English I classes </w:t>
            </w:r>
          </w:p>
          <w:p w14:paraId="7731AA16" w14:textId="77777777" w:rsidR="00A6411C" w:rsidRPr="00814E93" w:rsidRDefault="009C6648" w:rsidP="00814E93">
            <w:pPr>
              <w:rPr>
                <w:rFonts w:eastAsia="Calibri"/>
                <w:sz w:val="22"/>
                <w:szCs w:val="22"/>
              </w:rPr>
            </w:pPr>
            <w:r w:rsidRPr="005525E0">
              <w:rPr>
                <w:rFonts w:eastAsiaTheme="minorHAnsi"/>
                <w:color w:val="auto"/>
                <w:kern w:val="0"/>
              </w:rPr>
              <w:t>Funded through the Arkansas Career Pathways and the Annie E. Casey Foundation.</w:t>
            </w:r>
          </w:p>
        </w:tc>
        <w:tc>
          <w:tcPr>
            <w:tcW w:w="2228" w:type="dxa"/>
            <w:gridSpan w:val="2"/>
            <w:tcBorders>
              <w:top w:val="single" w:sz="4" w:space="0" w:color="auto"/>
              <w:left w:val="single" w:sz="4" w:space="0" w:color="auto"/>
              <w:bottom w:val="single" w:sz="4" w:space="0" w:color="auto"/>
              <w:right w:val="single" w:sz="4" w:space="0" w:color="auto"/>
            </w:tcBorders>
          </w:tcPr>
          <w:p w14:paraId="475706B4" w14:textId="77777777" w:rsidR="00793642" w:rsidRPr="005525E0" w:rsidRDefault="009C6648" w:rsidP="00E73734">
            <w:pPr>
              <w:autoSpaceDE w:val="0"/>
              <w:autoSpaceDN w:val="0"/>
              <w:adjustRightInd w:val="0"/>
              <w:spacing w:after="200"/>
              <w:contextualSpacing/>
              <w:rPr>
                <w:rFonts w:eastAsiaTheme="minorHAnsi"/>
                <w:color w:val="auto"/>
                <w:kern w:val="0"/>
              </w:rPr>
            </w:pPr>
            <w:r w:rsidRPr="009C6648">
              <w:rPr>
                <w:rFonts w:eastAsiaTheme="minorHAnsi"/>
                <w:color w:val="auto"/>
                <w:kern w:val="0"/>
              </w:rPr>
              <w:t>To improve success and increase enrollments in key STEM courses, Title III is a multi-faceted project that targets individual fields in each p</w:t>
            </w:r>
            <w:r w:rsidR="00814E93" w:rsidRPr="005525E0">
              <w:rPr>
                <w:rFonts w:eastAsiaTheme="minorHAnsi"/>
                <w:color w:val="auto"/>
                <w:kern w:val="0"/>
              </w:rPr>
              <w:t xml:space="preserve">roject year. Key elements are: </w:t>
            </w:r>
            <w:r w:rsidRPr="009C6648">
              <w:rPr>
                <w:rFonts w:eastAsiaTheme="minorHAnsi"/>
                <w:color w:val="auto"/>
                <w:kern w:val="0"/>
              </w:rPr>
              <w:t xml:space="preserve"> STEM direction summits;  </w:t>
            </w:r>
            <w:r w:rsidR="00814E93" w:rsidRPr="005525E0">
              <w:rPr>
                <w:rFonts w:eastAsiaTheme="minorHAnsi"/>
                <w:color w:val="auto"/>
                <w:kern w:val="0"/>
              </w:rPr>
              <w:t xml:space="preserve"> </w:t>
            </w:r>
            <w:r w:rsidRPr="009C6648">
              <w:rPr>
                <w:rFonts w:eastAsiaTheme="minorHAnsi"/>
                <w:color w:val="auto"/>
                <w:kern w:val="0"/>
              </w:rPr>
              <w:t>Instructional technology;  Lab instrumentation;   Course revision; Course revision;</w:t>
            </w:r>
            <w:r w:rsidR="00814E93" w:rsidRPr="005525E0">
              <w:rPr>
                <w:rFonts w:eastAsiaTheme="minorHAnsi"/>
                <w:color w:val="auto"/>
                <w:kern w:val="0"/>
              </w:rPr>
              <w:t xml:space="preserve"> </w:t>
            </w:r>
            <w:r w:rsidRPr="009C6648">
              <w:rPr>
                <w:rFonts w:eastAsiaTheme="minorHAnsi"/>
                <w:color w:val="auto"/>
                <w:kern w:val="0"/>
              </w:rPr>
              <w:t xml:space="preserve"> Academic support</w:t>
            </w:r>
            <w:r w:rsidR="00814E93" w:rsidRPr="005525E0">
              <w:rPr>
                <w:rFonts w:eastAsiaTheme="minorHAnsi"/>
                <w:color w:val="auto"/>
                <w:kern w:val="0"/>
              </w:rPr>
              <w:t>;</w:t>
            </w:r>
            <w:r w:rsidRPr="009C6648">
              <w:rPr>
                <w:rFonts w:eastAsiaTheme="minorHAnsi"/>
                <w:color w:val="auto"/>
                <w:kern w:val="0"/>
              </w:rPr>
              <w:t xml:space="preserve"> </w:t>
            </w:r>
            <w:r w:rsidR="00814E93" w:rsidRPr="005525E0">
              <w:rPr>
                <w:rFonts w:eastAsiaTheme="minorHAnsi"/>
                <w:color w:val="auto"/>
                <w:kern w:val="0"/>
              </w:rPr>
              <w:t xml:space="preserve"> </w:t>
            </w:r>
            <w:r w:rsidRPr="009C6648">
              <w:rPr>
                <w:rFonts w:eastAsiaTheme="minorHAnsi"/>
                <w:color w:val="auto"/>
                <w:kern w:val="0"/>
              </w:rPr>
              <w:t>Advising services;</w:t>
            </w:r>
            <w:r w:rsidR="00814E93" w:rsidRPr="005525E0">
              <w:rPr>
                <w:rFonts w:eastAsiaTheme="minorHAnsi"/>
                <w:color w:val="auto"/>
                <w:kern w:val="0"/>
              </w:rPr>
              <w:t xml:space="preserve"> </w:t>
            </w:r>
            <w:r w:rsidRPr="009C6648">
              <w:rPr>
                <w:rFonts w:eastAsiaTheme="minorHAnsi"/>
                <w:color w:val="auto"/>
                <w:kern w:val="0"/>
              </w:rPr>
              <w:t>Pilots of new capabilities;</w:t>
            </w:r>
            <w:r w:rsidR="00814E93" w:rsidRPr="005525E0">
              <w:rPr>
                <w:rFonts w:eastAsiaTheme="minorHAnsi"/>
                <w:color w:val="auto"/>
                <w:kern w:val="0"/>
              </w:rPr>
              <w:t xml:space="preserve"> </w:t>
            </w:r>
            <w:r w:rsidRPr="009C6648">
              <w:rPr>
                <w:rFonts w:eastAsiaTheme="minorHAnsi"/>
                <w:color w:val="auto"/>
                <w:kern w:val="0"/>
              </w:rPr>
              <w:t>STEM summer academies;  Academic year student research projects;</w:t>
            </w:r>
            <w:r w:rsidR="00814E93" w:rsidRPr="005525E0">
              <w:rPr>
                <w:rFonts w:eastAsiaTheme="minorHAnsi"/>
                <w:color w:val="auto"/>
                <w:kern w:val="0"/>
              </w:rPr>
              <w:t xml:space="preserve">  </w:t>
            </w:r>
            <w:r w:rsidRPr="009C6648">
              <w:rPr>
                <w:rFonts w:eastAsiaTheme="minorHAnsi"/>
                <w:color w:val="auto"/>
                <w:kern w:val="0"/>
              </w:rPr>
              <w:t>Learning inquiries;</w:t>
            </w:r>
            <w:r w:rsidR="00814E93" w:rsidRPr="005525E0">
              <w:rPr>
                <w:rFonts w:eastAsiaTheme="minorHAnsi"/>
                <w:color w:val="auto"/>
                <w:kern w:val="0"/>
              </w:rPr>
              <w:t xml:space="preserve"> </w:t>
            </w:r>
            <w:r w:rsidRPr="009C6648">
              <w:rPr>
                <w:rFonts w:eastAsiaTheme="minorHAnsi"/>
                <w:color w:val="auto"/>
                <w:kern w:val="0"/>
              </w:rPr>
              <w:t>Facilities renovation</w:t>
            </w:r>
            <w:r w:rsidR="004935A3" w:rsidRPr="005525E0">
              <w:rPr>
                <w:rFonts w:eastAsiaTheme="minorHAnsi"/>
                <w:color w:val="auto"/>
                <w:kern w:val="0"/>
              </w:rPr>
              <w:br/>
              <w:t xml:space="preserve">Funded </w:t>
            </w:r>
            <w:r w:rsidRPr="005525E0">
              <w:rPr>
                <w:rFonts w:eastAsiaTheme="minorHAnsi"/>
                <w:color w:val="auto"/>
                <w:kern w:val="0"/>
              </w:rPr>
              <w:t>through Title III.</w:t>
            </w:r>
          </w:p>
        </w:tc>
        <w:tc>
          <w:tcPr>
            <w:tcW w:w="2342" w:type="dxa"/>
            <w:gridSpan w:val="2"/>
            <w:tcBorders>
              <w:top w:val="single" w:sz="4" w:space="0" w:color="auto"/>
              <w:left w:val="single" w:sz="4" w:space="0" w:color="auto"/>
              <w:bottom w:val="single" w:sz="4" w:space="0" w:color="auto"/>
              <w:right w:val="single" w:sz="4" w:space="0" w:color="auto"/>
            </w:tcBorders>
          </w:tcPr>
          <w:p w14:paraId="70A8F2D7" w14:textId="77777777" w:rsidR="009C6648" w:rsidRPr="009C6648" w:rsidRDefault="009C6648" w:rsidP="009C6648">
            <w:pPr>
              <w:autoSpaceDE w:val="0"/>
              <w:autoSpaceDN w:val="0"/>
              <w:adjustRightInd w:val="0"/>
              <w:spacing w:after="200" w:line="276" w:lineRule="auto"/>
              <w:contextualSpacing/>
              <w:rPr>
                <w:rFonts w:eastAsia="Calibri"/>
                <w:color w:val="auto"/>
                <w:kern w:val="0"/>
              </w:rPr>
            </w:pPr>
            <w:r w:rsidRPr="009C6648">
              <w:rPr>
                <w:rFonts w:eastAsia="Calibri"/>
                <w:color w:val="auto"/>
                <w:kern w:val="0"/>
              </w:rPr>
              <w:t xml:space="preserve">Serves low-income, first-generation college students, and individuals with disabilities evidencing academic need.  </w:t>
            </w:r>
          </w:p>
          <w:p w14:paraId="1C791EF0" w14:textId="77777777" w:rsidR="009C6648" w:rsidRPr="009C6648" w:rsidRDefault="009C6648" w:rsidP="009C6648">
            <w:pPr>
              <w:autoSpaceDE w:val="0"/>
              <w:autoSpaceDN w:val="0"/>
              <w:adjustRightInd w:val="0"/>
              <w:spacing w:after="200" w:line="276" w:lineRule="auto"/>
              <w:contextualSpacing/>
              <w:rPr>
                <w:rFonts w:eastAsia="Calibri"/>
                <w:color w:val="auto"/>
                <w:kern w:val="0"/>
              </w:rPr>
            </w:pPr>
            <w:r w:rsidRPr="009C6648">
              <w:rPr>
                <w:rFonts w:eastAsia="Calibri"/>
                <w:color w:val="auto"/>
                <w:kern w:val="0"/>
              </w:rPr>
              <w:t xml:space="preserve">Designed to increase retention, graduation, and transfer (to 4-year institutions) rates of eligible students.  </w:t>
            </w:r>
          </w:p>
          <w:p w14:paraId="6DA4A857" w14:textId="77777777" w:rsidR="009C6648" w:rsidRPr="009C6648" w:rsidRDefault="009C6648" w:rsidP="009C6648">
            <w:pPr>
              <w:autoSpaceDE w:val="0"/>
              <w:autoSpaceDN w:val="0"/>
              <w:adjustRightInd w:val="0"/>
              <w:spacing w:after="200" w:line="276" w:lineRule="auto"/>
              <w:contextualSpacing/>
              <w:rPr>
                <w:rFonts w:eastAsia="Calibri"/>
                <w:color w:val="auto"/>
                <w:kern w:val="0"/>
              </w:rPr>
            </w:pPr>
            <w:r w:rsidRPr="009C6648">
              <w:rPr>
                <w:rFonts w:eastAsia="Calibri"/>
                <w:color w:val="auto"/>
                <w:kern w:val="0"/>
              </w:rPr>
              <w:t>Services include instruction in study skills, tutoring, transfer assistance, campus visits, advice and assistance in course selection, career exploration, and financial literacy.</w:t>
            </w:r>
          </w:p>
          <w:p w14:paraId="60DAF290" w14:textId="77777777" w:rsidR="00EF7DAF" w:rsidRDefault="009C6648" w:rsidP="009C6648">
            <w:pPr>
              <w:autoSpaceDE w:val="0"/>
              <w:autoSpaceDN w:val="0"/>
              <w:adjustRightInd w:val="0"/>
              <w:rPr>
                <w:rFonts w:eastAsia="Calibri"/>
              </w:rPr>
            </w:pPr>
            <w:r w:rsidRPr="005525E0">
              <w:rPr>
                <w:rFonts w:eastAsia="Calibri"/>
                <w:color w:val="auto"/>
                <w:kern w:val="0"/>
              </w:rPr>
              <w:t>Funded through DOE, TRIO</w:t>
            </w:r>
          </w:p>
        </w:tc>
      </w:tr>
      <w:tr w:rsidR="00A6411C" w14:paraId="075B390E" w14:textId="77777777" w:rsidTr="00D7276D">
        <w:trPr>
          <w:trHeight w:val="436"/>
        </w:trPr>
        <w:tc>
          <w:tcPr>
            <w:tcW w:w="2448" w:type="dxa"/>
            <w:gridSpan w:val="2"/>
            <w:tcBorders>
              <w:top w:val="single" w:sz="4" w:space="0" w:color="auto"/>
              <w:left w:val="single" w:sz="4" w:space="0" w:color="auto"/>
              <w:bottom w:val="single" w:sz="4" w:space="0" w:color="auto"/>
              <w:right w:val="single" w:sz="4" w:space="0" w:color="auto"/>
            </w:tcBorders>
            <w:hideMark/>
          </w:tcPr>
          <w:p w14:paraId="51BF9EBC" w14:textId="77777777" w:rsidR="00DA7B15" w:rsidRDefault="00DA7B15" w:rsidP="00DA7B15">
            <w:pPr>
              <w:rPr>
                <w:rFonts w:eastAsia="Calibri"/>
              </w:rPr>
            </w:pPr>
            <w:r w:rsidRPr="009302DC">
              <w:rPr>
                <w:rFonts w:eastAsia="Calibri"/>
                <w:b/>
              </w:rPr>
              <w:t>Priority</w:t>
            </w:r>
            <w:r>
              <w:rPr>
                <w:rFonts w:eastAsia="Calibri"/>
              </w:rPr>
              <w:t>-Success in Remedial Education</w:t>
            </w:r>
            <w:r w:rsidR="00660342">
              <w:rPr>
                <w:rFonts w:eastAsia="Calibri"/>
              </w:rPr>
              <w:t>, Completion of Gateway courses</w:t>
            </w:r>
          </w:p>
          <w:p w14:paraId="3F397BDF" w14:textId="77777777" w:rsidR="00DA7B15" w:rsidRDefault="005525E0" w:rsidP="00DA7B15">
            <w:pPr>
              <w:rPr>
                <w:rFonts w:eastAsia="Calibri"/>
              </w:rPr>
            </w:pPr>
            <w:r>
              <w:rPr>
                <w:rFonts w:eastAsia="Calibri"/>
              </w:rPr>
              <w:t>Supplemental Instruction</w:t>
            </w:r>
            <w:r w:rsidR="00DA7B15">
              <w:rPr>
                <w:rFonts w:eastAsia="Calibri"/>
              </w:rPr>
              <w:br/>
              <w:t>Student Success I and II</w:t>
            </w:r>
          </w:p>
          <w:p w14:paraId="1B51F13B" w14:textId="77777777" w:rsidR="00414F41" w:rsidRDefault="00414F41" w:rsidP="000F59E4">
            <w:pPr>
              <w:rPr>
                <w:rFonts w:eastAsia="Calibri"/>
              </w:rPr>
            </w:pPr>
          </w:p>
        </w:tc>
        <w:tc>
          <w:tcPr>
            <w:tcW w:w="2767" w:type="dxa"/>
            <w:gridSpan w:val="3"/>
            <w:tcBorders>
              <w:top w:val="single" w:sz="4" w:space="0" w:color="auto"/>
              <w:left w:val="single" w:sz="4" w:space="0" w:color="auto"/>
              <w:bottom w:val="single" w:sz="4" w:space="0" w:color="auto"/>
              <w:right w:val="single" w:sz="4" w:space="0" w:color="auto"/>
            </w:tcBorders>
            <w:hideMark/>
          </w:tcPr>
          <w:p w14:paraId="31A02865" w14:textId="77777777" w:rsidR="00A6411C" w:rsidRDefault="00A6411C" w:rsidP="00676318">
            <w:pPr>
              <w:rPr>
                <w:rFonts w:eastAsia="Calibri"/>
              </w:rPr>
            </w:pPr>
            <w:r w:rsidRPr="009302DC">
              <w:rPr>
                <w:rFonts w:eastAsia="Calibri"/>
                <w:b/>
              </w:rPr>
              <w:t>Priority</w:t>
            </w:r>
            <w:r>
              <w:rPr>
                <w:rFonts w:eastAsia="Calibri"/>
              </w:rPr>
              <w:t>-</w:t>
            </w:r>
            <w:r w:rsidR="00793642">
              <w:rPr>
                <w:rFonts w:eastAsia="Calibri"/>
              </w:rPr>
              <w:t>.</w:t>
            </w:r>
            <w:r w:rsidR="00676318" w:rsidRPr="00495970">
              <w:t xml:space="preserve"> Moving students from highest level of remediation in English and math through “gatekeeper courses</w:t>
            </w:r>
            <w:r w:rsidR="00676318">
              <w:t>”</w:t>
            </w:r>
            <w:r w:rsidR="00676318" w:rsidRPr="00495970">
              <w:t xml:space="preserve"> in order to increase the likelihood of graduation</w:t>
            </w:r>
            <w:r w:rsidR="00676318">
              <w:t>.</w:t>
            </w:r>
          </w:p>
        </w:tc>
        <w:tc>
          <w:tcPr>
            <w:tcW w:w="2380" w:type="dxa"/>
            <w:tcBorders>
              <w:top w:val="single" w:sz="4" w:space="0" w:color="auto"/>
              <w:left w:val="single" w:sz="4" w:space="0" w:color="auto"/>
              <w:bottom w:val="single" w:sz="4" w:space="0" w:color="auto"/>
              <w:right w:val="single" w:sz="4" w:space="0" w:color="auto"/>
            </w:tcBorders>
            <w:hideMark/>
          </w:tcPr>
          <w:p w14:paraId="683A7ADD" w14:textId="77777777" w:rsidR="00A6411C" w:rsidRDefault="00A6411C" w:rsidP="00046BA7">
            <w:pPr>
              <w:rPr>
                <w:rFonts w:eastAsia="Calibri"/>
              </w:rPr>
            </w:pPr>
            <w:r w:rsidRPr="009302DC">
              <w:rPr>
                <w:rFonts w:eastAsia="Calibri"/>
                <w:b/>
              </w:rPr>
              <w:t>Priority</w:t>
            </w:r>
            <w:r>
              <w:rPr>
                <w:rFonts w:eastAsia="Calibri"/>
              </w:rPr>
              <w:t>-</w:t>
            </w:r>
            <w:r w:rsidR="00E73734">
              <w:rPr>
                <w:rFonts w:eastAsia="Calibri"/>
              </w:rPr>
              <w:t>Move students through college education or training and into employment or college transfer programs.</w:t>
            </w:r>
          </w:p>
        </w:tc>
        <w:tc>
          <w:tcPr>
            <w:tcW w:w="2680" w:type="dxa"/>
            <w:tcBorders>
              <w:top w:val="single" w:sz="4" w:space="0" w:color="auto"/>
              <w:left w:val="single" w:sz="4" w:space="0" w:color="auto"/>
              <w:bottom w:val="single" w:sz="4" w:space="0" w:color="auto"/>
              <w:right w:val="single" w:sz="4" w:space="0" w:color="auto"/>
            </w:tcBorders>
          </w:tcPr>
          <w:p w14:paraId="268857C3" w14:textId="77777777" w:rsidR="00DA7B15" w:rsidRPr="00A4650A" w:rsidRDefault="00793642" w:rsidP="005525E0">
            <w:pPr>
              <w:pStyle w:val="Default"/>
              <w:rPr>
                <w:rFonts w:ascii="Times New Roman" w:hAnsi="Times New Roman" w:cs="Times New Roman"/>
                <w:color w:val="auto"/>
                <w:sz w:val="20"/>
                <w:szCs w:val="20"/>
              </w:rPr>
            </w:pPr>
            <w:r w:rsidRPr="00EF7DAF">
              <w:rPr>
                <w:rFonts w:ascii="Times New Roman" w:hAnsi="Times New Roman" w:cs="Times New Roman"/>
                <w:b/>
                <w:color w:val="auto"/>
                <w:sz w:val="20"/>
                <w:szCs w:val="20"/>
              </w:rPr>
              <w:t>Priority:</w:t>
            </w:r>
            <w:r>
              <w:rPr>
                <w:rFonts w:ascii="Times New Roman" w:hAnsi="Times New Roman" w:cs="Times New Roman"/>
                <w:color w:val="auto"/>
                <w:sz w:val="20"/>
                <w:szCs w:val="20"/>
              </w:rPr>
              <w:t xml:space="preserve"> Success </w:t>
            </w:r>
            <w:r w:rsidR="00A6411C">
              <w:rPr>
                <w:rFonts w:ascii="Times New Roman" w:hAnsi="Times New Roman" w:cs="Times New Roman"/>
                <w:color w:val="auto"/>
                <w:sz w:val="20"/>
                <w:szCs w:val="20"/>
              </w:rPr>
              <w:t>for</w:t>
            </w:r>
            <w:r>
              <w:rPr>
                <w:rFonts w:ascii="Times New Roman" w:hAnsi="Times New Roman" w:cs="Times New Roman"/>
                <w:color w:val="auto"/>
                <w:sz w:val="20"/>
                <w:szCs w:val="20"/>
              </w:rPr>
              <w:t xml:space="preserve"> the student population which includes</w:t>
            </w:r>
            <w:r w:rsidR="00A6411C">
              <w:rPr>
                <w:rFonts w:ascii="Times New Roman" w:hAnsi="Times New Roman" w:cs="Times New Roman"/>
                <w:color w:val="auto"/>
                <w:sz w:val="20"/>
                <w:szCs w:val="20"/>
              </w:rPr>
              <w:t xml:space="preserve"> </w:t>
            </w:r>
            <w:r w:rsidR="00A6411C" w:rsidRPr="007C1853">
              <w:rPr>
                <w:rFonts w:ascii="Times New Roman" w:hAnsi="Times New Roman" w:cs="Times New Roman"/>
                <w:color w:val="auto"/>
                <w:sz w:val="20"/>
                <w:szCs w:val="20"/>
              </w:rPr>
              <w:t>TANF eligible adults and those who fall at or below 250% of the federal poverty level.</w:t>
            </w:r>
            <w:r w:rsidR="00A6411C">
              <w:rPr>
                <w:rFonts w:ascii="Times New Roman" w:hAnsi="Times New Roman" w:cs="Times New Roman"/>
                <w:color w:val="auto"/>
                <w:sz w:val="20"/>
                <w:szCs w:val="20"/>
              </w:rPr>
              <w:t xml:space="preserve"> </w:t>
            </w:r>
          </w:p>
        </w:tc>
        <w:tc>
          <w:tcPr>
            <w:tcW w:w="2228" w:type="dxa"/>
            <w:gridSpan w:val="2"/>
            <w:tcBorders>
              <w:top w:val="single" w:sz="4" w:space="0" w:color="auto"/>
              <w:left w:val="single" w:sz="4" w:space="0" w:color="auto"/>
              <w:bottom w:val="single" w:sz="4" w:space="0" w:color="auto"/>
              <w:right w:val="single" w:sz="4" w:space="0" w:color="auto"/>
            </w:tcBorders>
          </w:tcPr>
          <w:p w14:paraId="579BA7C2" w14:textId="77777777" w:rsidR="00262F39" w:rsidRPr="00D7321E" w:rsidRDefault="00A6411C" w:rsidP="00262F39">
            <w:pPr>
              <w:rPr>
                <w:rFonts w:eastAsia="Calibri"/>
              </w:rPr>
            </w:pPr>
            <w:r w:rsidRPr="00FC36F2">
              <w:rPr>
                <w:rFonts w:eastAsia="Calibri"/>
                <w:b/>
              </w:rPr>
              <w:t>Priority</w:t>
            </w:r>
            <w:r>
              <w:rPr>
                <w:rFonts w:eastAsia="Calibri"/>
              </w:rPr>
              <w:t xml:space="preserve"> </w:t>
            </w:r>
            <w:r w:rsidR="00262F39">
              <w:rPr>
                <w:rFonts w:eastAsia="Calibri"/>
                <w:b/>
              </w:rPr>
              <w:t>-</w:t>
            </w:r>
            <w:r w:rsidR="00262F39">
              <w:rPr>
                <w:rFonts w:eastAsia="Calibri"/>
              </w:rPr>
              <w:t xml:space="preserve">Strengthen STEM Programs: </w:t>
            </w:r>
            <w:r w:rsidR="00262F39" w:rsidRPr="00D7321E">
              <w:rPr>
                <w:rFonts w:eastAsia="Calibri"/>
              </w:rPr>
              <w:t>Year 1 – math</w:t>
            </w:r>
            <w:r w:rsidR="00262F39">
              <w:rPr>
                <w:rFonts w:eastAsia="Calibri"/>
              </w:rPr>
              <w:t xml:space="preserve">; </w:t>
            </w:r>
            <w:r w:rsidR="00262F39" w:rsidRPr="00D7321E">
              <w:rPr>
                <w:rFonts w:eastAsia="Calibri"/>
              </w:rPr>
              <w:t>Year 2 – life and physical sciences</w:t>
            </w:r>
            <w:r w:rsidR="00262F39">
              <w:rPr>
                <w:rFonts w:eastAsia="Calibri"/>
              </w:rPr>
              <w:t xml:space="preserve">; </w:t>
            </w:r>
            <w:r w:rsidR="00262F39" w:rsidRPr="00D7321E">
              <w:rPr>
                <w:rFonts w:eastAsia="Calibri"/>
              </w:rPr>
              <w:t>Year 3 – chemistry</w:t>
            </w:r>
          </w:p>
          <w:p w14:paraId="097FA81A" w14:textId="77777777" w:rsidR="00262F39" w:rsidRPr="00A4650A" w:rsidRDefault="00262F39" w:rsidP="00262F39">
            <w:pPr>
              <w:rPr>
                <w:rFonts w:eastAsia="Calibri"/>
              </w:rPr>
            </w:pPr>
            <w:r w:rsidRPr="00D7321E">
              <w:rPr>
                <w:rFonts w:eastAsia="Calibri"/>
              </w:rPr>
              <w:t>Year 4 – computer technology</w:t>
            </w:r>
            <w:r>
              <w:rPr>
                <w:rFonts w:eastAsia="Calibri"/>
              </w:rPr>
              <w:t xml:space="preserve">; Year 5 – summative </w:t>
            </w:r>
            <w:r w:rsidRPr="00D7321E">
              <w:rPr>
                <w:rFonts w:eastAsia="Calibri"/>
              </w:rPr>
              <w:t>evaluation</w:t>
            </w:r>
          </w:p>
        </w:tc>
        <w:tc>
          <w:tcPr>
            <w:tcW w:w="2342" w:type="dxa"/>
            <w:gridSpan w:val="2"/>
            <w:tcBorders>
              <w:top w:val="single" w:sz="4" w:space="0" w:color="auto"/>
              <w:left w:val="single" w:sz="4" w:space="0" w:color="auto"/>
              <w:bottom w:val="single" w:sz="4" w:space="0" w:color="auto"/>
              <w:right w:val="single" w:sz="4" w:space="0" w:color="auto"/>
            </w:tcBorders>
          </w:tcPr>
          <w:p w14:paraId="0160B322" w14:textId="77777777" w:rsidR="00A6411C" w:rsidRDefault="00EF7DAF" w:rsidP="000F59E4">
            <w:pPr>
              <w:rPr>
                <w:rFonts w:eastAsia="Calibri"/>
              </w:rPr>
            </w:pPr>
            <w:r>
              <w:rPr>
                <w:rFonts w:eastAsia="Calibri"/>
                <w:b/>
              </w:rPr>
              <w:t>Priority</w:t>
            </w:r>
            <w:r w:rsidRPr="00EF7DAF">
              <w:rPr>
                <w:rFonts w:eastAsia="Calibri"/>
              </w:rPr>
              <w:t>-student success for first generation, low income, and disabled students.</w:t>
            </w:r>
          </w:p>
          <w:p w14:paraId="75C4CFFA" w14:textId="77777777" w:rsidR="00EF7DAF" w:rsidRDefault="00EF7DAF" w:rsidP="000F59E4">
            <w:pPr>
              <w:rPr>
                <w:rFonts w:eastAsia="Calibri"/>
                <w:b/>
              </w:rPr>
            </w:pPr>
          </w:p>
          <w:p w14:paraId="1A6BA59B" w14:textId="77777777" w:rsidR="00414F41" w:rsidRDefault="00414F41" w:rsidP="000F59E4">
            <w:pPr>
              <w:rPr>
                <w:rFonts w:eastAsia="Calibri"/>
                <w:b/>
              </w:rPr>
            </w:pPr>
          </w:p>
          <w:p w14:paraId="2EBCED06" w14:textId="77777777" w:rsidR="00414F41" w:rsidRDefault="00414F41" w:rsidP="000F59E4">
            <w:pPr>
              <w:rPr>
                <w:rFonts w:eastAsia="Calibri"/>
                <w:b/>
              </w:rPr>
            </w:pPr>
          </w:p>
          <w:p w14:paraId="20DDBE1F" w14:textId="77777777" w:rsidR="00C858E6" w:rsidRDefault="00C858E6" w:rsidP="000F59E4">
            <w:pPr>
              <w:rPr>
                <w:rFonts w:eastAsia="Calibri"/>
                <w:b/>
              </w:rPr>
            </w:pPr>
          </w:p>
          <w:p w14:paraId="75D374EA" w14:textId="77777777" w:rsidR="00C858E6" w:rsidRDefault="00C858E6" w:rsidP="000F59E4">
            <w:pPr>
              <w:rPr>
                <w:rFonts w:eastAsia="Calibri"/>
                <w:b/>
              </w:rPr>
            </w:pPr>
          </w:p>
          <w:p w14:paraId="4C39240D" w14:textId="77777777" w:rsidR="00A503A8" w:rsidRDefault="00A503A8" w:rsidP="000F59E4">
            <w:pPr>
              <w:rPr>
                <w:rFonts w:eastAsia="Calibri"/>
                <w:b/>
              </w:rPr>
            </w:pPr>
          </w:p>
          <w:p w14:paraId="2A50A009" w14:textId="77777777" w:rsidR="0011201A" w:rsidRDefault="0011201A" w:rsidP="000F59E4">
            <w:pPr>
              <w:rPr>
                <w:rFonts w:eastAsia="Calibri"/>
                <w:b/>
              </w:rPr>
            </w:pPr>
          </w:p>
          <w:p w14:paraId="4728E80E" w14:textId="77777777" w:rsidR="00C858E6" w:rsidRPr="00FC36F2" w:rsidRDefault="00C858E6" w:rsidP="000F59E4">
            <w:pPr>
              <w:rPr>
                <w:rFonts w:eastAsia="Calibri"/>
                <w:b/>
              </w:rPr>
            </w:pPr>
          </w:p>
        </w:tc>
      </w:tr>
      <w:tr w:rsidR="00676318" w14:paraId="3CEFBCF6" w14:textId="77777777" w:rsidTr="00D7276D">
        <w:trPr>
          <w:trHeight w:val="240"/>
        </w:trPr>
        <w:tc>
          <w:tcPr>
            <w:tcW w:w="10275" w:type="dxa"/>
            <w:gridSpan w:val="7"/>
            <w:tcBorders>
              <w:top w:val="single" w:sz="4" w:space="0" w:color="auto"/>
              <w:left w:val="single" w:sz="4" w:space="0" w:color="auto"/>
              <w:bottom w:val="single" w:sz="4" w:space="0" w:color="auto"/>
              <w:right w:val="single" w:sz="4" w:space="0" w:color="auto"/>
            </w:tcBorders>
            <w:shd w:val="clear" w:color="auto" w:fill="6FA0C0" w:themeFill="text2" w:themeFillTint="99"/>
            <w:hideMark/>
          </w:tcPr>
          <w:p w14:paraId="51A88B00" w14:textId="77777777" w:rsidR="00676318" w:rsidRDefault="00814E93" w:rsidP="00814E93">
            <w:pPr>
              <w:jc w:val="center"/>
              <w:rPr>
                <w:rFonts w:eastAsia="Calibri"/>
                <w:b/>
                <w:sz w:val="24"/>
                <w:szCs w:val="24"/>
              </w:rPr>
            </w:pPr>
            <w:r>
              <w:rPr>
                <w:rFonts w:eastAsia="Calibri"/>
                <w:b/>
                <w:sz w:val="24"/>
                <w:szCs w:val="24"/>
              </w:rPr>
              <w:lastRenderedPageBreak/>
              <w:t xml:space="preserve">                                                                                                 </w:t>
            </w:r>
            <w:r w:rsidR="00676318">
              <w:rPr>
                <w:rFonts w:eastAsia="Calibri"/>
                <w:b/>
                <w:sz w:val="24"/>
                <w:szCs w:val="24"/>
              </w:rPr>
              <w:t>PCCUA ALIGNING INITIATIVES</w:t>
            </w:r>
          </w:p>
        </w:tc>
        <w:tc>
          <w:tcPr>
            <w:tcW w:w="2341" w:type="dxa"/>
            <w:gridSpan w:val="3"/>
            <w:tcBorders>
              <w:top w:val="single" w:sz="4" w:space="0" w:color="auto"/>
              <w:left w:val="single" w:sz="4" w:space="0" w:color="auto"/>
              <w:bottom w:val="single" w:sz="4" w:space="0" w:color="auto"/>
              <w:right w:val="single" w:sz="4" w:space="0" w:color="auto"/>
            </w:tcBorders>
            <w:shd w:val="clear" w:color="auto" w:fill="6FA0C0" w:themeFill="text2" w:themeFillTint="99"/>
          </w:tcPr>
          <w:p w14:paraId="49E972B0" w14:textId="77777777" w:rsidR="00676318" w:rsidRDefault="00676318" w:rsidP="00834644">
            <w:pPr>
              <w:jc w:val="center"/>
              <w:rPr>
                <w:rFonts w:eastAsia="Calibri"/>
                <w:b/>
                <w:sz w:val="24"/>
                <w:szCs w:val="24"/>
              </w:rPr>
            </w:pPr>
          </w:p>
        </w:tc>
        <w:tc>
          <w:tcPr>
            <w:tcW w:w="2229" w:type="dxa"/>
            <w:tcBorders>
              <w:top w:val="single" w:sz="4" w:space="0" w:color="auto"/>
              <w:left w:val="single" w:sz="4" w:space="0" w:color="auto"/>
              <w:bottom w:val="single" w:sz="4" w:space="0" w:color="auto"/>
              <w:right w:val="single" w:sz="4" w:space="0" w:color="auto"/>
            </w:tcBorders>
            <w:shd w:val="clear" w:color="auto" w:fill="6FA0C0" w:themeFill="text2" w:themeFillTint="99"/>
          </w:tcPr>
          <w:p w14:paraId="1BE1B52A" w14:textId="77777777" w:rsidR="00676318" w:rsidRDefault="00676318" w:rsidP="00834644">
            <w:pPr>
              <w:jc w:val="center"/>
              <w:rPr>
                <w:rFonts w:eastAsia="Calibri"/>
                <w:b/>
                <w:sz w:val="24"/>
                <w:szCs w:val="24"/>
              </w:rPr>
            </w:pPr>
          </w:p>
        </w:tc>
      </w:tr>
      <w:tr w:rsidR="00676318" w14:paraId="782B7A73" w14:textId="77777777" w:rsidTr="00D7276D">
        <w:trPr>
          <w:trHeight w:val="813"/>
        </w:trPr>
        <w:tc>
          <w:tcPr>
            <w:tcW w:w="2318" w:type="dxa"/>
            <w:tcBorders>
              <w:top w:val="single" w:sz="4" w:space="0" w:color="auto"/>
              <w:left w:val="single" w:sz="4" w:space="0" w:color="auto"/>
              <w:bottom w:val="single" w:sz="4" w:space="0" w:color="auto"/>
              <w:right w:val="single" w:sz="4" w:space="0" w:color="auto"/>
            </w:tcBorders>
            <w:shd w:val="clear" w:color="auto" w:fill="CFDFEA" w:themeFill="text2" w:themeFillTint="33"/>
            <w:hideMark/>
          </w:tcPr>
          <w:p w14:paraId="543105C1" w14:textId="1E9EBD3E" w:rsidR="00676318" w:rsidRPr="00636F17" w:rsidRDefault="004935A3" w:rsidP="00834644">
            <w:pPr>
              <w:jc w:val="center"/>
              <w:rPr>
                <w:rFonts w:eastAsia="Calibri"/>
                <w:b/>
              </w:rPr>
            </w:pPr>
            <w:r>
              <w:rPr>
                <w:rFonts w:eastAsia="Calibri"/>
                <w:b/>
              </w:rPr>
              <w:t>Academy of College Excellence (ACE)</w:t>
            </w:r>
            <w:r>
              <w:rPr>
                <w:rFonts w:eastAsia="Calibri"/>
                <w:b/>
              </w:rPr>
              <w:br/>
              <w:t>2014</w:t>
            </w:r>
            <w:r w:rsidR="00E320D8">
              <w:rPr>
                <w:rFonts w:eastAsia="Calibri"/>
                <w:b/>
              </w:rPr>
              <w:t>-continued</w:t>
            </w:r>
          </w:p>
        </w:tc>
        <w:tc>
          <w:tcPr>
            <w:tcW w:w="2470" w:type="dxa"/>
            <w:gridSpan w:val="3"/>
            <w:tcBorders>
              <w:top w:val="single" w:sz="4" w:space="0" w:color="auto"/>
              <w:left w:val="single" w:sz="4" w:space="0" w:color="auto"/>
              <w:bottom w:val="single" w:sz="4" w:space="0" w:color="auto"/>
              <w:right w:val="single" w:sz="4" w:space="0" w:color="auto"/>
            </w:tcBorders>
            <w:shd w:val="clear" w:color="auto" w:fill="CFDFEA" w:themeFill="text2" w:themeFillTint="33"/>
          </w:tcPr>
          <w:p w14:paraId="77B69587" w14:textId="77777777" w:rsidR="00676318" w:rsidRPr="00636F17" w:rsidRDefault="00262F39" w:rsidP="00834644">
            <w:pPr>
              <w:jc w:val="center"/>
              <w:rPr>
                <w:rFonts w:eastAsia="Calibri"/>
                <w:b/>
              </w:rPr>
            </w:pPr>
            <w:proofErr w:type="spellStart"/>
            <w:r>
              <w:rPr>
                <w:rFonts w:eastAsia="Calibri"/>
                <w:b/>
              </w:rPr>
              <w:t>Mathways</w:t>
            </w:r>
            <w:proofErr w:type="spellEnd"/>
            <w:r>
              <w:rPr>
                <w:rFonts w:eastAsia="Calibri"/>
                <w:b/>
              </w:rPr>
              <w:br/>
              <w:t>Pathways to Progress</w:t>
            </w:r>
            <w:r>
              <w:rPr>
                <w:rFonts w:eastAsia="Calibri"/>
                <w:b/>
              </w:rPr>
              <w:br/>
              <w:t>2014-2017</w:t>
            </w:r>
          </w:p>
        </w:tc>
        <w:tc>
          <w:tcPr>
            <w:tcW w:w="2807" w:type="dxa"/>
            <w:gridSpan w:val="2"/>
            <w:tcBorders>
              <w:top w:val="single" w:sz="4" w:space="0" w:color="auto"/>
              <w:left w:val="single" w:sz="4" w:space="0" w:color="auto"/>
              <w:bottom w:val="single" w:sz="4" w:space="0" w:color="auto"/>
              <w:right w:val="single" w:sz="4" w:space="0" w:color="auto"/>
            </w:tcBorders>
            <w:shd w:val="clear" w:color="auto" w:fill="CFDFEA" w:themeFill="text2" w:themeFillTint="33"/>
            <w:hideMark/>
          </w:tcPr>
          <w:p w14:paraId="329342C5" w14:textId="77777777" w:rsidR="00676318" w:rsidRPr="00636F17" w:rsidRDefault="00676318" w:rsidP="00834644">
            <w:pPr>
              <w:jc w:val="center"/>
              <w:rPr>
                <w:rFonts w:eastAsia="Calibri"/>
                <w:b/>
              </w:rPr>
            </w:pPr>
            <w:r>
              <w:rPr>
                <w:rFonts w:eastAsia="Calibri"/>
                <w:b/>
              </w:rPr>
              <w:t>Path to Accelerated Completion and Employment</w:t>
            </w:r>
            <w:r w:rsidRPr="00636F17">
              <w:rPr>
                <w:rFonts w:eastAsia="Calibri"/>
                <w:b/>
              </w:rPr>
              <w:t xml:space="preserve"> (PACE)</w:t>
            </w:r>
            <w:r w:rsidR="0054407D">
              <w:rPr>
                <w:rFonts w:eastAsia="Calibri"/>
                <w:b/>
              </w:rPr>
              <w:t xml:space="preserve"> 2012</w:t>
            </w:r>
            <w:r w:rsidR="0054407D" w:rsidRPr="00636F17">
              <w:rPr>
                <w:rFonts w:eastAsia="Calibri"/>
                <w:b/>
              </w:rPr>
              <w:t>-2014</w:t>
            </w:r>
          </w:p>
        </w:tc>
        <w:tc>
          <w:tcPr>
            <w:tcW w:w="2680" w:type="dxa"/>
            <w:tcBorders>
              <w:top w:val="single" w:sz="4" w:space="0" w:color="auto"/>
              <w:left w:val="single" w:sz="4" w:space="0" w:color="auto"/>
              <w:bottom w:val="single" w:sz="4" w:space="0" w:color="auto"/>
              <w:right w:val="single" w:sz="4" w:space="0" w:color="auto"/>
            </w:tcBorders>
            <w:shd w:val="clear" w:color="auto" w:fill="CFDFEA" w:themeFill="text2" w:themeFillTint="33"/>
          </w:tcPr>
          <w:p w14:paraId="70D94E41" w14:textId="77777777" w:rsidR="00676318" w:rsidRDefault="00676318" w:rsidP="00834644">
            <w:pPr>
              <w:jc w:val="center"/>
              <w:rPr>
                <w:rFonts w:eastAsia="Calibri"/>
                <w:b/>
              </w:rPr>
            </w:pPr>
            <w:r>
              <w:rPr>
                <w:rFonts w:eastAsia="Calibri"/>
                <w:b/>
              </w:rPr>
              <w:t>Faculty Inquiry Group (FIG)</w:t>
            </w:r>
          </w:p>
          <w:p w14:paraId="56755A9A" w14:textId="5B9C068D" w:rsidR="0032439F" w:rsidRPr="00636F17" w:rsidRDefault="0032439F" w:rsidP="00834644">
            <w:pPr>
              <w:jc w:val="center"/>
              <w:rPr>
                <w:rFonts w:eastAsia="Calibri"/>
                <w:b/>
              </w:rPr>
            </w:pPr>
            <w:r>
              <w:rPr>
                <w:rFonts w:eastAsia="Calibri"/>
                <w:b/>
              </w:rPr>
              <w:t>2013-present</w:t>
            </w:r>
          </w:p>
        </w:tc>
        <w:tc>
          <w:tcPr>
            <w:tcW w:w="2341" w:type="dxa"/>
            <w:gridSpan w:val="3"/>
            <w:tcBorders>
              <w:top w:val="single" w:sz="4" w:space="0" w:color="auto"/>
              <w:left w:val="single" w:sz="4" w:space="0" w:color="auto"/>
              <w:right w:val="single" w:sz="4" w:space="0" w:color="auto"/>
            </w:tcBorders>
            <w:shd w:val="clear" w:color="auto" w:fill="CFDFEA" w:themeFill="text2" w:themeFillTint="33"/>
          </w:tcPr>
          <w:p w14:paraId="6F21BA62" w14:textId="77777777" w:rsidR="0054407D" w:rsidRDefault="00676318" w:rsidP="0054407D">
            <w:pPr>
              <w:jc w:val="center"/>
              <w:rPr>
                <w:rFonts w:eastAsia="Calibri"/>
                <w:b/>
              </w:rPr>
            </w:pPr>
            <w:r>
              <w:rPr>
                <w:rFonts w:eastAsia="Calibri"/>
                <w:b/>
              </w:rPr>
              <w:t>Carl Perkins</w:t>
            </w:r>
            <w:r w:rsidR="0054407D">
              <w:rPr>
                <w:rFonts w:eastAsia="Calibri"/>
                <w:b/>
              </w:rPr>
              <w:t xml:space="preserve"> </w:t>
            </w:r>
            <w:r w:rsidR="0054407D">
              <w:rPr>
                <w:rFonts w:eastAsia="Calibri"/>
                <w:b/>
              </w:rPr>
              <w:br/>
              <w:t>2011-2018</w:t>
            </w:r>
          </w:p>
          <w:p w14:paraId="7BF825C7" w14:textId="77777777" w:rsidR="00676318" w:rsidRPr="00DB4D71" w:rsidRDefault="00676318" w:rsidP="00DB4D71">
            <w:pPr>
              <w:rPr>
                <w:rFonts w:eastAsia="Calibri"/>
              </w:rPr>
            </w:pPr>
          </w:p>
        </w:tc>
        <w:tc>
          <w:tcPr>
            <w:tcW w:w="2229" w:type="dxa"/>
            <w:tcBorders>
              <w:top w:val="single" w:sz="4" w:space="0" w:color="auto"/>
              <w:left w:val="single" w:sz="4" w:space="0" w:color="auto"/>
              <w:right w:val="single" w:sz="4" w:space="0" w:color="auto"/>
            </w:tcBorders>
            <w:shd w:val="clear" w:color="auto" w:fill="CFDFEA" w:themeFill="text2" w:themeFillTint="33"/>
          </w:tcPr>
          <w:p w14:paraId="79CE3DF3" w14:textId="77777777" w:rsidR="00676318" w:rsidRPr="00DB4D71" w:rsidRDefault="00676318" w:rsidP="0054407D">
            <w:pPr>
              <w:jc w:val="center"/>
              <w:rPr>
                <w:rFonts w:eastAsia="Calibri"/>
              </w:rPr>
            </w:pPr>
            <w:r>
              <w:rPr>
                <w:rFonts w:eastAsia="Calibri"/>
                <w:b/>
              </w:rPr>
              <w:t>GEAR-UP</w:t>
            </w:r>
            <w:r w:rsidR="0054407D">
              <w:rPr>
                <w:rFonts w:eastAsia="Calibri"/>
                <w:b/>
              </w:rPr>
              <w:br/>
            </w:r>
            <w:r w:rsidR="0054407D" w:rsidRPr="0054407D">
              <w:rPr>
                <w:b/>
              </w:rPr>
              <w:t>2011-2018</w:t>
            </w:r>
          </w:p>
        </w:tc>
      </w:tr>
      <w:tr w:rsidR="00676318" w14:paraId="54E78E66" w14:textId="77777777" w:rsidTr="00D7276D">
        <w:trPr>
          <w:trHeight w:val="3631"/>
        </w:trPr>
        <w:tc>
          <w:tcPr>
            <w:tcW w:w="2318" w:type="dxa"/>
            <w:tcBorders>
              <w:top w:val="single" w:sz="4" w:space="0" w:color="auto"/>
              <w:left w:val="single" w:sz="4" w:space="0" w:color="auto"/>
              <w:bottom w:val="single" w:sz="4" w:space="0" w:color="auto"/>
              <w:right w:val="single" w:sz="4" w:space="0" w:color="auto"/>
            </w:tcBorders>
          </w:tcPr>
          <w:p w14:paraId="370592A0" w14:textId="77777777" w:rsidR="00676318" w:rsidRPr="005525E0" w:rsidRDefault="00660342" w:rsidP="009C6648">
            <w:r w:rsidRPr="005525E0">
              <w:t xml:space="preserve">Academy for College Excellence- The focus of the program is on students and learning. It requires that college faculty change how they view learning and examine affective behaviors which impact learning outcomes.   It is based on foundational work by Diego Navarro.   The main purpose of ACE is to 1) </w:t>
            </w:r>
            <w:r w:rsidRPr="005525E0">
              <w:rPr>
                <w:color w:val="555555"/>
              </w:rPr>
              <w:t>Transform students from within, 2) Create tomorrow’s leaders, 3) Work within and change knowledge-based cultures, 4) Improve social justice in the local community, 5) Change the way community colleges work with vulnerable students.  </w:t>
            </w:r>
          </w:p>
        </w:tc>
        <w:tc>
          <w:tcPr>
            <w:tcW w:w="2470" w:type="dxa"/>
            <w:gridSpan w:val="3"/>
            <w:tcBorders>
              <w:top w:val="single" w:sz="4" w:space="0" w:color="auto"/>
              <w:left w:val="single" w:sz="4" w:space="0" w:color="auto"/>
              <w:bottom w:val="single" w:sz="4" w:space="0" w:color="auto"/>
              <w:right w:val="single" w:sz="4" w:space="0" w:color="auto"/>
            </w:tcBorders>
          </w:tcPr>
          <w:p w14:paraId="6BD6DFE9" w14:textId="77777777" w:rsidR="00191835" w:rsidRDefault="00032E48" w:rsidP="00191835">
            <w:r>
              <w:rPr>
                <w:rFonts w:eastAsia="Calibri"/>
              </w:rPr>
              <w:t>Part of the pathways to Pro</w:t>
            </w:r>
            <w:r w:rsidR="00191835">
              <w:rPr>
                <w:rFonts w:eastAsia="Calibri"/>
              </w:rPr>
              <w:t xml:space="preserve">gress Program tied to ATD.  </w:t>
            </w:r>
            <w:r w:rsidR="00191835">
              <w:t xml:space="preserve"> It relies on acceleration of remedial math work, multiple pathways to complete college math requirements (PCCUA has two), intentional use of learning strategies and faculty intervention, and curriculum redesign. </w:t>
            </w:r>
          </w:p>
          <w:p w14:paraId="2D58DB0B" w14:textId="77777777" w:rsidR="00191835" w:rsidRDefault="00191835" w:rsidP="00191835"/>
          <w:p w14:paraId="44D7EFF7" w14:textId="77777777" w:rsidR="00191835" w:rsidRPr="006B1B12" w:rsidRDefault="00191835" w:rsidP="00191835">
            <w:r>
              <w:t xml:space="preserve">Funded by AATYC with a grant from </w:t>
            </w:r>
            <w:proofErr w:type="spellStart"/>
            <w:r>
              <w:t>Kresge</w:t>
            </w:r>
            <w:proofErr w:type="spellEnd"/>
            <w:r w:rsidR="004F1778">
              <w:t xml:space="preserve"> Foundation</w:t>
            </w:r>
          </w:p>
          <w:p w14:paraId="2B1DAEB3" w14:textId="77777777" w:rsidR="00676318" w:rsidRPr="005525E0" w:rsidRDefault="00676318" w:rsidP="005525E0">
            <w:pPr>
              <w:rPr>
                <w:rFonts w:eastAsia="Calibri"/>
              </w:rPr>
            </w:pPr>
          </w:p>
        </w:tc>
        <w:tc>
          <w:tcPr>
            <w:tcW w:w="2807" w:type="dxa"/>
            <w:gridSpan w:val="2"/>
            <w:tcBorders>
              <w:top w:val="single" w:sz="4" w:space="0" w:color="auto"/>
              <w:left w:val="single" w:sz="4" w:space="0" w:color="auto"/>
              <w:bottom w:val="single" w:sz="4" w:space="0" w:color="auto"/>
              <w:right w:val="single" w:sz="4" w:space="0" w:color="auto"/>
            </w:tcBorders>
            <w:hideMark/>
          </w:tcPr>
          <w:p w14:paraId="2CC3C5F2" w14:textId="77777777" w:rsidR="00676318" w:rsidRPr="005525E0" w:rsidRDefault="00676318" w:rsidP="00834644">
            <w:pPr>
              <w:rPr>
                <w:rFonts w:eastAsia="Calibri"/>
              </w:rPr>
            </w:pPr>
            <w:r w:rsidRPr="005525E0">
              <w:rPr>
                <w:rFonts w:eastAsia="Calibri"/>
              </w:rPr>
              <w:t>The PACE grant is provided by the Department of Labor. PCCUA is a sub grantee of NWACC.  Its primary goal is to improve retention and achievement rates and reduce time-to-completion for students using strategies which (1) transform developmental education, (2) streamline certificate and degree pathways, and (3) enhance student advisement and job placement technology.</w:t>
            </w:r>
            <w:r w:rsidRPr="005525E0">
              <w:rPr>
                <w:rFonts w:eastAsia="Calibri"/>
              </w:rPr>
              <w:br/>
              <w:t>PCCUA is a PACE Sub-grantee, NWACC received the grant for Arkansas</w:t>
            </w:r>
            <w:r w:rsidRPr="005525E0">
              <w:rPr>
                <w:rFonts w:eastAsia="Calibri"/>
              </w:rPr>
              <w:br/>
            </w:r>
          </w:p>
          <w:p w14:paraId="6D8DA23D" w14:textId="77777777" w:rsidR="00676318" w:rsidRPr="005525E0" w:rsidRDefault="00676318" w:rsidP="00834644">
            <w:pPr>
              <w:rPr>
                <w:rFonts w:eastAsia="Calibri"/>
              </w:rPr>
            </w:pPr>
            <w:r w:rsidRPr="005525E0">
              <w:rPr>
                <w:rFonts w:eastAsia="Calibri"/>
              </w:rPr>
              <w:t>Funded through DOL</w:t>
            </w:r>
          </w:p>
        </w:tc>
        <w:tc>
          <w:tcPr>
            <w:tcW w:w="2680" w:type="dxa"/>
            <w:tcBorders>
              <w:top w:val="single" w:sz="4" w:space="0" w:color="auto"/>
              <w:left w:val="single" w:sz="4" w:space="0" w:color="auto"/>
              <w:bottom w:val="single" w:sz="4" w:space="0" w:color="auto"/>
              <w:right w:val="single" w:sz="4" w:space="0" w:color="auto"/>
            </w:tcBorders>
          </w:tcPr>
          <w:p w14:paraId="6D95E961" w14:textId="77777777" w:rsidR="00676318" w:rsidRPr="005525E0" w:rsidRDefault="0054407D" w:rsidP="00834644">
            <w:pPr>
              <w:rPr>
                <w:rFonts w:eastAsia="Calibri"/>
              </w:rPr>
            </w:pPr>
            <w:r w:rsidRPr="005525E0">
              <w:rPr>
                <w:lang w:val="en"/>
              </w:rPr>
              <w:t>Faculty inquiry is a form of professional development in which teachers identify and investigate questions about the students’ learning.  The inquiry process is ongoing, informed by evidence of student learning, and undertaken in a collaborative setting.  Findings from the process come back to the classroom in the form of new curricula, new assessments, and new pedagogies</w:t>
            </w:r>
          </w:p>
        </w:tc>
        <w:tc>
          <w:tcPr>
            <w:tcW w:w="2341" w:type="dxa"/>
            <w:gridSpan w:val="3"/>
            <w:tcBorders>
              <w:left w:val="single" w:sz="4" w:space="0" w:color="auto"/>
              <w:right w:val="single" w:sz="4" w:space="0" w:color="auto"/>
            </w:tcBorders>
            <w:shd w:val="clear" w:color="auto" w:fill="auto"/>
          </w:tcPr>
          <w:p w14:paraId="2B272BBF" w14:textId="77777777" w:rsidR="00E73734" w:rsidRDefault="00E73734" w:rsidP="00E73734">
            <w:pPr>
              <w:spacing w:after="200"/>
              <w:contextualSpacing/>
              <w:rPr>
                <w:rFonts w:eastAsiaTheme="minorHAnsi"/>
                <w:color w:val="auto"/>
                <w:kern w:val="0"/>
              </w:rPr>
            </w:pPr>
            <w:r w:rsidRPr="00E73734">
              <w:rPr>
                <w:rFonts w:eastAsiaTheme="minorHAnsi"/>
                <w:color w:val="auto"/>
                <w:kern w:val="0"/>
              </w:rPr>
              <w:t xml:space="preserve">Student success in career and technical education concentrator programs.  The general intent of Congress in authorizing Perkins IV is to make the United States more competitive in the current world economy and to prepare workers to take advantage of emerging opportunities.  To that end there are four over overarching goals:                     1) challenging academic standards; 2) broadening services that integrate academic and technical instruction; 3) increasing linkages between secondary and postsecondary institutions; 4) </w:t>
            </w:r>
            <w:r>
              <w:rPr>
                <w:rFonts w:eastAsiaTheme="minorHAnsi"/>
                <w:color w:val="auto"/>
                <w:kern w:val="0"/>
              </w:rPr>
              <w:t>providing additional resources in the classroom.</w:t>
            </w:r>
          </w:p>
          <w:p w14:paraId="18C5FB75" w14:textId="77777777" w:rsidR="00676318" w:rsidRPr="005525E0" w:rsidRDefault="00E73734" w:rsidP="00E73734">
            <w:pPr>
              <w:spacing w:after="200"/>
              <w:contextualSpacing/>
              <w:rPr>
                <w:rFonts w:eastAsiaTheme="minorHAnsi"/>
                <w:b/>
                <w:color w:val="auto"/>
                <w:kern w:val="0"/>
              </w:rPr>
            </w:pPr>
            <w:r>
              <w:rPr>
                <w:rFonts w:eastAsiaTheme="minorHAnsi"/>
                <w:color w:val="auto"/>
                <w:kern w:val="0"/>
              </w:rPr>
              <w:t>Funded through Carl Perkins.</w:t>
            </w:r>
          </w:p>
        </w:tc>
        <w:tc>
          <w:tcPr>
            <w:tcW w:w="2229" w:type="dxa"/>
            <w:tcBorders>
              <w:left w:val="single" w:sz="4" w:space="0" w:color="auto"/>
              <w:right w:val="single" w:sz="4" w:space="0" w:color="auto"/>
            </w:tcBorders>
            <w:shd w:val="clear" w:color="auto" w:fill="auto"/>
          </w:tcPr>
          <w:p w14:paraId="7E4C6C66" w14:textId="77777777" w:rsidR="00676318" w:rsidRPr="005525E0" w:rsidRDefault="00676318" w:rsidP="00E73734">
            <w:pPr>
              <w:spacing w:after="200"/>
              <w:contextualSpacing/>
              <w:rPr>
                <w:rFonts w:eastAsiaTheme="minorHAnsi"/>
                <w:b/>
                <w:color w:val="auto"/>
                <w:kern w:val="0"/>
              </w:rPr>
            </w:pPr>
            <w:r w:rsidRPr="00676318">
              <w:rPr>
                <w:rFonts w:eastAsiaTheme="minorHAnsi"/>
                <w:color w:val="auto"/>
                <w:kern w:val="0"/>
              </w:rPr>
              <w:t xml:space="preserve">Partnership among PCCUA and eight school districts (Helena-West Helena, Barton-Lexa, Marvell-Elaine, Lee County, Stuttgart, DeWitt, Dumas, and Lakeside (Lake Village), as well as other community partners.  </w:t>
            </w:r>
            <w:r w:rsidRPr="005525E0">
              <w:rPr>
                <w:rFonts w:eastAsiaTheme="minorHAnsi"/>
                <w:b/>
                <w:color w:val="auto"/>
                <w:kern w:val="0"/>
              </w:rPr>
              <w:br/>
            </w:r>
            <w:r w:rsidRPr="00676318">
              <w:rPr>
                <w:rFonts w:eastAsiaTheme="minorHAnsi"/>
                <w:color w:val="auto"/>
                <w:kern w:val="0"/>
              </w:rPr>
              <w:t xml:space="preserve">Services include:  afterschool programs; mentoring; college/career planning; summer programs; college campus experiences; professional development for school staff; resources to support the delivery of rigorous and academic curriculum; and parent programming.  </w:t>
            </w:r>
            <w:r w:rsidRPr="005525E0">
              <w:rPr>
                <w:rFonts w:eastAsiaTheme="minorHAnsi"/>
                <w:color w:val="auto"/>
                <w:kern w:val="0"/>
              </w:rPr>
              <w:t>Funded by the U.S. Department of Education.</w:t>
            </w:r>
          </w:p>
        </w:tc>
      </w:tr>
      <w:tr w:rsidR="005525E0" w:rsidRPr="00FC36F2" w14:paraId="50259016" w14:textId="77777777" w:rsidTr="00D7276D">
        <w:trPr>
          <w:trHeight w:val="1265"/>
        </w:trPr>
        <w:tc>
          <w:tcPr>
            <w:tcW w:w="2785" w:type="dxa"/>
            <w:gridSpan w:val="3"/>
            <w:tcBorders>
              <w:top w:val="single" w:sz="4" w:space="0" w:color="auto"/>
              <w:left w:val="single" w:sz="4" w:space="0" w:color="auto"/>
              <w:bottom w:val="single" w:sz="4" w:space="0" w:color="auto"/>
              <w:right w:val="single" w:sz="4" w:space="0" w:color="auto"/>
            </w:tcBorders>
            <w:shd w:val="clear" w:color="auto" w:fill="CFDFEA" w:themeFill="text2" w:themeFillTint="33"/>
          </w:tcPr>
          <w:p w14:paraId="524EB6F2" w14:textId="77777777" w:rsidR="005525E0" w:rsidRPr="00262F39" w:rsidRDefault="005525E0" w:rsidP="005525E0">
            <w:pPr>
              <w:rPr>
                <w:rFonts w:eastAsia="Calibri"/>
              </w:rPr>
            </w:pPr>
            <w:r w:rsidRPr="00C45803">
              <w:rPr>
                <w:rFonts w:eastAsia="Calibri"/>
                <w:b/>
              </w:rPr>
              <w:t>Success Indicators</w:t>
            </w:r>
            <w:r w:rsidRPr="00262F39">
              <w:rPr>
                <w:rFonts w:eastAsia="Calibri"/>
              </w:rPr>
              <w:br/>
              <w:t>1. Course completion</w:t>
            </w:r>
          </w:p>
          <w:p w14:paraId="30CD3E3A" w14:textId="77777777" w:rsidR="005525E0" w:rsidRPr="00262F39" w:rsidRDefault="005525E0" w:rsidP="005525E0">
            <w:pPr>
              <w:contextualSpacing/>
              <w:rPr>
                <w:rFonts w:eastAsia="Calibri"/>
              </w:rPr>
            </w:pPr>
            <w:r w:rsidRPr="00262F39">
              <w:rPr>
                <w:rFonts w:eastAsia="Calibri"/>
              </w:rPr>
              <w:t>2. Course Success</w:t>
            </w:r>
          </w:p>
          <w:p w14:paraId="4CD90884" w14:textId="77777777" w:rsidR="005525E0" w:rsidRPr="00262F39" w:rsidRDefault="005525E0" w:rsidP="005525E0">
            <w:pPr>
              <w:contextualSpacing/>
              <w:rPr>
                <w:rFonts w:eastAsia="Calibri"/>
              </w:rPr>
            </w:pPr>
            <w:r w:rsidRPr="00262F39">
              <w:rPr>
                <w:rFonts w:eastAsia="Calibri"/>
              </w:rPr>
              <w:t>3. Term to Term Persistence</w:t>
            </w:r>
          </w:p>
          <w:p w14:paraId="3D289ACD" w14:textId="77777777" w:rsidR="005525E0" w:rsidRPr="00262F39" w:rsidRDefault="005525E0" w:rsidP="005525E0">
            <w:pPr>
              <w:contextualSpacing/>
              <w:rPr>
                <w:rFonts w:eastAsia="Calibri"/>
              </w:rPr>
            </w:pPr>
            <w:r w:rsidRPr="00262F39">
              <w:rPr>
                <w:rFonts w:eastAsia="Calibri"/>
              </w:rPr>
              <w:t>4. Year to Year Persistence</w:t>
            </w:r>
            <w:r w:rsidRPr="00262F39">
              <w:rPr>
                <w:rFonts w:eastAsia="Calibri"/>
              </w:rPr>
              <w:br/>
              <w:t>5. Degree Completion</w:t>
            </w:r>
            <w:r w:rsidRPr="00262F39">
              <w:rPr>
                <w:rFonts w:eastAsia="Calibri"/>
              </w:rPr>
              <w:br/>
              <w:t>6. Acceleration</w:t>
            </w:r>
          </w:p>
          <w:p w14:paraId="59C7850F" w14:textId="77777777" w:rsidR="005525E0" w:rsidRPr="00262F39" w:rsidRDefault="005525E0" w:rsidP="005525E0">
            <w:pPr>
              <w:rPr>
                <w:rFonts w:eastAsia="Calibri"/>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CFDFEA" w:themeFill="text2" w:themeFillTint="33"/>
          </w:tcPr>
          <w:p w14:paraId="56488171" w14:textId="5813C5D8" w:rsidR="005525E0" w:rsidRPr="00262F39" w:rsidRDefault="005525E0" w:rsidP="005525E0">
            <w:pPr>
              <w:rPr>
                <w:rFonts w:eastAsia="Calibri"/>
              </w:rPr>
            </w:pPr>
            <w:r w:rsidRPr="00C45803">
              <w:rPr>
                <w:rFonts w:eastAsia="Calibri"/>
                <w:b/>
              </w:rPr>
              <w:t>Outcomes</w:t>
            </w:r>
            <w:r w:rsidRPr="00262F39">
              <w:rPr>
                <w:rFonts w:eastAsia="Calibri"/>
              </w:rPr>
              <w:br/>
              <w:t>Quantitative Data</w:t>
            </w:r>
            <w:r w:rsidRPr="00262F39">
              <w:rPr>
                <w:rFonts w:eastAsia="Calibri"/>
              </w:rPr>
              <w:br/>
              <w:t>Qualitative Data</w:t>
            </w:r>
            <w:r w:rsidR="00C45803">
              <w:rPr>
                <w:rFonts w:eastAsia="Calibri"/>
              </w:rPr>
              <w:br/>
              <w:t>Other</w:t>
            </w:r>
          </w:p>
          <w:p w14:paraId="369AA298" w14:textId="77777777" w:rsidR="005525E0" w:rsidRPr="00262F39" w:rsidRDefault="005525E0" w:rsidP="00660342"/>
        </w:tc>
        <w:tc>
          <w:tcPr>
            <w:tcW w:w="5400" w:type="dxa"/>
            <w:gridSpan w:val="3"/>
            <w:tcBorders>
              <w:top w:val="single" w:sz="4" w:space="0" w:color="auto"/>
              <w:left w:val="single" w:sz="4" w:space="0" w:color="auto"/>
              <w:bottom w:val="single" w:sz="4" w:space="0" w:color="auto"/>
              <w:right w:val="single" w:sz="4" w:space="0" w:color="auto"/>
            </w:tcBorders>
            <w:shd w:val="clear" w:color="auto" w:fill="CFDFEA" w:themeFill="text2" w:themeFillTint="33"/>
          </w:tcPr>
          <w:p w14:paraId="655C7330" w14:textId="77777777" w:rsidR="005525E0" w:rsidRPr="00414F41" w:rsidRDefault="005525E0" w:rsidP="005525E0">
            <w:pPr>
              <w:rPr>
                <w:rFonts w:eastAsia="Calibri"/>
                <w:b/>
                <w:bCs/>
              </w:rPr>
            </w:pPr>
            <w:r w:rsidRPr="00414F41">
              <w:rPr>
                <w:rFonts w:eastAsia="Calibri"/>
                <w:b/>
                <w:bCs/>
              </w:rPr>
              <w:t>Tools</w:t>
            </w:r>
          </w:p>
          <w:p w14:paraId="26BBEDB4" w14:textId="77777777" w:rsidR="005525E0" w:rsidRPr="00414F41" w:rsidRDefault="005525E0" w:rsidP="005525E0">
            <w:pPr>
              <w:rPr>
                <w:rFonts w:eastAsia="Calibri"/>
              </w:rPr>
            </w:pPr>
            <w:r w:rsidRPr="00414F41">
              <w:rPr>
                <w:rFonts w:eastAsia="Calibri"/>
              </w:rPr>
              <w:t xml:space="preserve">Surveys and Inventories (SENSE,CCSSE &amp; CFSSE, </w:t>
            </w:r>
            <w:r>
              <w:rPr>
                <w:rFonts w:eastAsia="Calibri"/>
              </w:rPr>
              <w:br/>
            </w:r>
            <w:r w:rsidRPr="00414F41">
              <w:rPr>
                <w:rFonts w:eastAsia="Calibri"/>
              </w:rPr>
              <w:t xml:space="preserve">and others) </w:t>
            </w:r>
            <w:r w:rsidRPr="00414F41">
              <w:rPr>
                <w:rFonts w:eastAsia="Calibri"/>
              </w:rPr>
              <w:br/>
              <w:t>Rubrics (Writing)</w:t>
            </w:r>
          </w:p>
          <w:p w14:paraId="129AD022" w14:textId="77777777" w:rsidR="005525E0" w:rsidRPr="00414F41" w:rsidRDefault="005525E0" w:rsidP="005525E0">
            <w:pPr>
              <w:rPr>
                <w:rFonts w:eastAsia="Calibri"/>
              </w:rPr>
            </w:pPr>
            <w:r w:rsidRPr="00414F41">
              <w:rPr>
                <w:rFonts w:eastAsia="Calibri"/>
              </w:rPr>
              <w:t>Interviews-Focus Groups</w:t>
            </w:r>
            <w:r w:rsidRPr="00414F41">
              <w:rPr>
                <w:rFonts w:eastAsia="Calibri"/>
              </w:rPr>
              <w:br/>
              <w:t>Focused Discussions</w:t>
            </w:r>
          </w:p>
          <w:p w14:paraId="582F759A" w14:textId="77777777" w:rsidR="005525E0" w:rsidRPr="00414F41" w:rsidRDefault="005525E0" w:rsidP="005525E0">
            <w:pPr>
              <w:rPr>
                <w:rFonts w:eastAsia="Calibri"/>
              </w:rPr>
            </w:pPr>
            <w:r w:rsidRPr="00414F41">
              <w:rPr>
                <w:rFonts w:eastAsia="Calibri"/>
              </w:rPr>
              <w:t>Logic Models</w:t>
            </w:r>
          </w:p>
          <w:p w14:paraId="2FBF7933" w14:textId="77777777" w:rsidR="005525E0" w:rsidRPr="00262F39" w:rsidRDefault="00262F39" w:rsidP="00262F39">
            <w:pPr>
              <w:rPr>
                <w:rFonts w:eastAsia="Calibri"/>
              </w:rPr>
            </w:pPr>
            <w:r>
              <w:rPr>
                <w:rFonts w:eastAsia="Calibri"/>
              </w:rPr>
              <w:t>Conceptual  Model</w:t>
            </w:r>
          </w:p>
        </w:tc>
        <w:tc>
          <w:tcPr>
            <w:tcW w:w="4230" w:type="dxa"/>
            <w:gridSpan w:val="3"/>
            <w:tcBorders>
              <w:top w:val="single" w:sz="4" w:space="0" w:color="auto"/>
              <w:left w:val="single" w:sz="4" w:space="0" w:color="auto"/>
              <w:bottom w:val="single" w:sz="4" w:space="0" w:color="auto"/>
              <w:right w:val="single" w:sz="4" w:space="0" w:color="auto"/>
            </w:tcBorders>
            <w:shd w:val="clear" w:color="auto" w:fill="CFDFEA" w:themeFill="text2" w:themeFillTint="33"/>
          </w:tcPr>
          <w:p w14:paraId="5F9974B7" w14:textId="33840791" w:rsidR="00E73734" w:rsidRPr="00414F41" w:rsidRDefault="00C45803" w:rsidP="00E73734">
            <w:pPr>
              <w:rPr>
                <w:rFonts w:eastAsia="Calibri"/>
              </w:rPr>
            </w:pPr>
            <w:r w:rsidRPr="00C45803">
              <w:rPr>
                <w:rFonts w:eastAsia="Calibri"/>
                <w:b/>
              </w:rPr>
              <w:t>Tools</w:t>
            </w:r>
            <w:r>
              <w:rPr>
                <w:rFonts w:eastAsia="Calibri"/>
              </w:rPr>
              <w:br/>
            </w:r>
            <w:r w:rsidR="00E73734">
              <w:rPr>
                <w:noProof/>
              </w:rPr>
              <w:drawing>
                <wp:anchor distT="0" distB="0" distL="114300" distR="114300" simplePos="0" relativeHeight="251661312" behindDoc="0" locked="0" layoutInCell="1" allowOverlap="1" wp14:anchorId="35A5158B" wp14:editId="193858EE">
                  <wp:simplePos x="0" y="0"/>
                  <wp:positionH relativeFrom="column">
                    <wp:posOffset>1560830</wp:posOffset>
                  </wp:positionH>
                  <wp:positionV relativeFrom="paragraph">
                    <wp:posOffset>44450</wp:posOffset>
                  </wp:positionV>
                  <wp:extent cx="1057275" cy="1076325"/>
                  <wp:effectExtent l="0" t="0" r="9525" b="9525"/>
                  <wp:wrapNone/>
                  <wp:docPr id="4" name="Picture 4" descr="C:\Documents and Settings\kdoom.MDC\Local Settings\Temp\Temporary Directory 7 for ATD-LeaderCollegeMark-Files.zip\ATD-LeaderCollegeMark-Files\PNGs\large size\ATD-LCMark-3272KSolid.png"/>
                  <wp:cNvGraphicFramePr/>
                  <a:graphic xmlns:a="http://schemas.openxmlformats.org/drawingml/2006/main">
                    <a:graphicData uri="http://schemas.openxmlformats.org/drawingml/2006/picture">
                      <pic:pic xmlns:pic="http://schemas.openxmlformats.org/drawingml/2006/picture">
                        <pic:nvPicPr>
                          <pic:cNvPr id="2" name="Picture 2" descr="C:\Documents and Settings\kdoom.MDC\Local Settings\Temp\Temporary Directory 7 for ATD-LeaderCollegeMark-Files.zip\ATD-LeaderCollegeMark-Files\PNGs\large size\ATD-LCMark-3272KSoli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73734" w:rsidRPr="00414F41">
              <w:rPr>
                <w:rFonts w:eastAsia="Calibri"/>
              </w:rPr>
              <w:t>Outcomes</w:t>
            </w:r>
            <w:r w:rsidR="00E73734" w:rsidRPr="00414F41">
              <w:rPr>
                <w:rFonts w:eastAsia="Calibri"/>
              </w:rPr>
              <w:br/>
              <w:t>Evaluations</w:t>
            </w:r>
          </w:p>
          <w:p w14:paraId="1D1F6C7F" w14:textId="77777777" w:rsidR="00E73734" w:rsidRDefault="00E73734" w:rsidP="00E73734">
            <w:pPr>
              <w:rPr>
                <w:rFonts w:eastAsia="Calibri"/>
              </w:rPr>
            </w:pPr>
            <w:r w:rsidRPr="00414F41">
              <w:rPr>
                <w:rFonts w:eastAsia="Calibri"/>
              </w:rPr>
              <w:t>Anecdotal Notes and Stories</w:t>
            </w:r>
            <w:r w:rsidRPr="00414F41">
              <w:rPr>
                <w:rFonts w:eastAsia="Calibri"/>
              </w:rPr>
              <w:br/>
              <w:t>Other</w:t>
            </w:r>
          </w:p>
          <w:p w14:paraId="5991F9B6" w14:textId="77777777" w:rsidR="005525E0" w:rsidRPr="00967935" w:rsidRDefault="005525E0" w:rsidP="00660342">
            <w:pPr>
              <w:rPr>
                <w:b/>
              </w:rPr>
            </w:pPr>
          </w:p>
        </w:tc>
      </w:tr>
    </w:tbl>
    <w:p w14:paraId="4C157515" w14:textId="77777777" w:rsidR="00676318" w:rsidRPr="00290EC3" w:rsidRDefault="00676318" w:rsidP="00676318">
      <w:pPr>
        <w:rPr>
          <w:rFonts w:eastAsia="Calibri"/>
          <w:b/>
        </w:rPr>
      </w:pPr>
      <w:r w:rsidRPr="00290EC3">
        <w:rPr>
          <w:rFonts w:eastAsia="Calibri"/>
          <w:b/>
        </w:rPr>
        <w:t>Student</w:t>
      </w:r>
    </w:p>
    <w:p w14:paraId="6E397F57" w14:textId="6E22F7FA" w:rsidR="00836B9D" w:rsidRDefault="00676318" w:rsidP="00836B9D">
      <w:pPr>
        <w:rPr>
          <w:rFonts w:eastAsia="Calibri"/>
        </w:rPr>
      </w:pPr>
      <w:r>
        <w:rPr>
          <w:rFonts w:eastAsia="Calibri"/>
        </w:rPr>
        <w:t>1.   Supplemental Instruction Labs (ATD)</w:t>
      </w:r>
      <w:r w:rsidR="00571527">
        <w:rPr>
          <w:rFonts w:eastAsia="Calibri"/>
        </w:rPr>
        <w:tab/>
      </w:r>
      <w:r w:rsidR="00571527">
        <w:rPr>
          <w:rFonts w:eastAsia="Calibri"/>
        </w:rPr>
        <w:tab/>
      </w:r>
      <w:r w:rsidR="00571527">
        <w:rPr>
          <w:rFonts w:eastAsia="Calibri"/>
        </w:rPr>
        <w:tab/>
        <w:t>5</w:t>
      </w:r>
      <w:r w:rsidR="00836B9D">
        <w:rPr>
          <w:rFonts w:eastAsia="Calibri"/>
        </w:rPr>
        <w:t>.  Financial Literacy (CWF)</w:t>
      </w:r>
      <w:r w:rsidR="00836B9D">
        <w:rPr>
          <w:rFonts w:eastAsia="Calibri"/>
        </w:rPr>
        <w:tab/>
      </w:r>
      <w:r w:rsidR="00836B9D">
        <w:rPr>
          <w:rFonts w:eastAsia="Calibri"/>
        </w:rPr>
        <w:tab/>
      </w:r>
      <w:r w:rsidR="00836B9D">
        <w:rPr>
          <w:rFonts w:eastAsia="Calibri"/>
        </w:rPr>
        <w:tab/>
      </w:r>
      <w:r w:rsidR="00836B9D">
        <w:rPr>
          <w:rFonts w:eastAsia="Calibri"/>
        </w:rPr>
        <w:tab/>
      </w:r>
      <w:r w:rsidR="00A503A8">
        <w:rPr>
          <w:rFonts w:eastAsia="Calibri"/>
        </w:rPr>
        <w:t xml:space="preserve">  </w:t>
      </w:r>
      <w:r w:rsidR="00836B9D">
        <w:rPr>
          <w:rFonts w:eastAsia="Calibri"/>
        </w:rPr>
        <w:t xml:space="preserve">9.  Writing embedded instruction in five selected </w:t>
      </w:r>
    </w:p>
    <w:p w14:paraId="2ED72F35" w14:textId="0BE1CD1B" w:rsidR="00676318" w:rsidRDefault="00676318" w:rsidP="00676318">
      <w:pPr>
        <w:rPr>
          <w:rFonts w:eastAsia="Calibri"/>
        </w:rPr>
      </w:pPr>
      <w:r>
        <w:rPr>
          <w:rFonts w:eastAsia="Calibri"/>
        </w:rPr>
        <w:t>2.   Early Alert (ATD)</w:t>
      </w:r>
      <w:r w:rsidR="00571527">
        <w:rPr>
          <w:rFonts w:eastAsia="Calibri"/>
        </w:rPr>
        <w:tab/>
      </w:r>
      <w:r w:rsidR="00571527">
        <w:rPr>
          <w:rFonts w:eastAsia="Calibri"/>
        </w:rPr>
        <w:tab/>
      </w:r>
      <w:r w:rsidR="00571527">
        <w:rPr>
          <w:rFonts w:eastAsia="Calibri"/>
        </w:rPr>
        <w:tab/>
      </w:r>
      <w:r w:rsidR="00571527">
        <w:rPr>
          <w:rFonts w:eastAsia="Calibri"/>
        </w:rPr>
        <w:tab/>
      </w:r>
      <w:r w:rsidR="00571527">
        <w:rPr>
          <w:rFonts w:eastAsia="Calibri"/>
        </w:rPr>
        <w:tab/>
        <w:t>6</w:t>
      </w:r>
      <w:r w:rsidR="00836B9D">
        <w:rPr>
          <w:rFonts w:eastAsia="Calibri"/>
        </w:rPr>
        <w:t>.  Financial Literacy (CWF)</w:t>
      </w:r>
      <w:r w:rsidR="00836B9D">
        <w:rPr>
          <w:rFonts w:eastAsia="Calibri"/>
        </w:rPr>
        <w:tab/>
      </w:r>
      <w:r w:rsidR="00836B9D">
        <w:rPr>
          <w:rFonts w:eastAsia="Calibri"/>
        </w:rPr>
        <w:tab/>
      </w:r>
      <w:r w:rsidR="00836B9D">
        <w:rPr>
          <w:rFonts w:eastAsia="Calibri"/>
        </w:rPr>
        <w:tab/>
        <w:t xml:space="preserve">        </w:t>
      </w:r>
      <w:r w:rsidR="00836B9D">
        <w:rPr>
          <w:rFonts w:eastAsia="Calibri"/>
        </w:rPr>
        <w:tab/>
        <w:t xml:space="preserve">     </w:t>
      </w:r>
      <w:r w:rsidR="00A503A8">
        <w:rPr>
          <w:rFonts w:eastAsia="Calibri"/>
        </w:rPr>
        <w:t xml:space="preserve">  </w:t>
      </w:r>
      <w:r w:rsidR="00836B9D">
        <w:rPr>
          <w:rFonts w:eastAsia="Calibri"/>
        </w:rPr>
        <w:t xml:space="preserve"> non-English courses (HLC-QIP)</w:t>
      </w:r>
      <w:r w:rsidR="00836B9D">
        <w:rPr>
          <w:rFonts w:eastAsia="Calibri"/>
        </w:rPr>
        <w:tab/>
      </w:r>
      <w:r w:rsidR="00836B9D">
        <w:rPr>
          <w:rFonts w:eastAsia="Calibri"/>
        </w:rPr>
        <w:tab/>
      </w:r>
    </w:p>
    <w:p w14:paraId="103ACED0" w14:textId="77777777" w:rsidR="00836B9D" w:rsidRDefault="00676318" w:rsidP="00836B9D">
      <w:pPr>
        <w:rPr>
          <w:rFonts w:eastAsia="Calibri"/>
        </w:rPr>
      </w:pPr>
      <w:r>
        <w:rPr>
          <w:rFonts w:eastAsia="Calibri"/>
        </w:rPr>
        <w:t>3.  Student Success I &amp; II (ATD-CWF-CP)</w:t>
      </w:r>
      <w:r w:rsidR="00836B9D" w:rsidRPr="00836B9D">
        <w:rPr>
          <w:rFonts w:eastAsia="Calibri"/>
        </w:rPr>
        <w:t xml:space="preserve"> </w:t>
      </w:r>
      <w:r w:rsidR="00836B9D">
        <w:rPr>
          <w:rFonts w:eastAsia="Calibri"/>
        </w:rPr>
        <w:tab/>
      </w:r>
      <w:r w:rsidR="00836B9D">
        <w:rPr>
          <w:rFonts w:eastAsia="Calibri"/>
        </w:rPr>
        <w:tab/>
      </w:r>
      <w:r w:rsidR="00836B9D">
        <w:rPr>
          <w:rFonts w:eastAsia="Calibri"/>
        </w:rPr>
        <w:tab/>
        <w:t xml:space="preserve">7.  Accelerated Courses in math and English (HLC-                  10. </w:t>
      </w:r>
      <w:r w:rsidR="00A503A8">
        <w:rPr>
          <w:rFonts w:eastAsia="Calibri"/>
        </w:rPr>
        <w:t xml:space="preserve">  </w:t>
      </w:r>
      <w:r w:rsidR="00836B9D">
        <w:rPr>
          <w:rFonts w:eastAsia="Calibri"/>
        </w:rPr>
        <w:t>Mandatory Orientation (HLC-QIP)</w:t>
      </w:r>
    </w:p>
    <w:p w14:paraId="3B1CAAC6" w14:textId="64AADCA9" w:rsidR="00A503A8" w:rsidRDefault="00836B9D" w:rsidP="00A503A8">
      <w:pPr>
        <w:rPr>
          <w:rFonts w:eastAsia="Calibri"/>
        </w:rPr>
      </w:pPr>
      <w:r>
        <w:rPr>
          <w:rFonts w:eastAsia="Calibri"/>
        </w:rPr>
        <w:t>4.   Focused Advising (HLC-QIP, CWSNCC-</w:t>
      </w:r>
      <w:r w:rsidRPr="00836B9D">
        <w:rPr>
          <w:rFonts w:eastAsia="Calibri"/>
        </w:rPr>
        <w:t xml:space="preserve"> </w:t>
      </w:r>
      <w:r>
        <w:rPr>
          <w:rFonts w:eastAsia="Calibri"/>
        </w:rPr>
        <w:t xml:space="preserve">CP, SSS)           8.  </w:t>
      </w:r>
      <w:r w:rsidRPr="00DB38CF">
        <w:rPr>
          <w:rFonts w:eastAsia="Calibri"/>
        </w:rPr>
        <w:t>Combi</w:t>
      </w:r>
      <w:r>
        <w:rPr>
          <w:rFonts w:eastAsia="Calibri"/>
        </w:rPr>
        <w:t xml:space="preserve">ned reading and math for lowest </w:t>
      </w:r>
      <w:r w:rsidRPr="00DB38CF">
        <w:rPr>
          <w:rFonts w:eastAsia="Calibri"/>
        </w:rPr>
        <w:t xml:space="preserve">remediation </w:t>
      </w:r>
      <w:r>
        <w:rPr>
          <w:rFonts w:eastAsia="Calibri"/>
        </w:rPr>
        <w:t xml:space="preserve">           </w:t>
      </w:r>
      <w:r w:rsidR="00D7276D">
        <w:rPr>
          <w:rFonts w:eastAsia="Calibri"/>
        </w:rPr>
        <w:t xml:space="preserve"> </w:t>
      </w:r>
      <w:r>
        <w:rPr>
          <w:rFonts w:eastAsia="Calibri"/>
        </w:rPr>
        <w:t xml:space="preserve"> 11.</w:t>
      </w:r>
      <w:r w:rsidR="00A503A8">
        <w:rPr>
          <w:rFonts w:eastAsia="Calibri"/>
        </w:rPr>
        <w:t xml:space="preserve">  </w:t>
      </w:r>
      <w:r>
        <w:rPr>
          <w:rFonts w:eastAsia="Calibri"/>
        </w:rPr>
        <w:t xml:space="preserve"> Student Success Learning Labs for Gateway Courses </w:t>
      </w:r>
      <w:r w:rsidR="00A503A8">
        <w:rPr>
          <w:rFonts w:eastAsia="Calibri"/>
        </w:rPr>
        <w:br/>
        <w:t xml:space="preserve">                                                                                                          (ATD, HLC-QIP, PACE)                                                       12.   Employability Skills Training (CPCWF)</w:t>
      </w:r>
    </w:p>
    <w:p w14:paraId="79C7E04E" w14:textId="7218386E" w:rsidR="00676318" w:rsidRDefault="00836B9D" w:rsidP="00DB4D71">
      <w:r>
        <w:rPr>
          <w:rFonts w:eastAsia="Calibri"/>
        </w:rPr>
        <w:br/>
      </w:r>
      <w:r>
        <w:rPr>
          <w:rFonts w:eastAsia="Calibri"/>
        </w:rPr>
        <w:tab/>
      </w:r>
      <w:r>
        <w:rPr>
          <w:rFonts w:eastAsia="Calibri"/>
        </w:rPr>
        <w:tab/>
      </w:r>
    </w:p>
    <w:sectPr w:rsidR="00676318" w:rsidSect="0011201A">
      <w:pgSz w:w="15840" w:h="12240" w:orient="landscape"/>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A96"/>
    <w:multiLevelType w:val="hybridMultilevel"/>
    <w:tmpl w:val="AAC2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57ED1"/>
    <w:multiLevelType w:val="hybridMultilevel"/>
    <w:tmpl w:val="DA18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63AA"/>
    <w:multiLevelType w:val="hybridMultilevel"/>
    <w:tmpl w:val="8A7C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44BFA"/>
    <w:multiLevelType w:val="hybridMultilevel"/>
    <w:tmpl w:val="E48E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26E1D"/>
    <w:multiLevelType w:val="hybridMultilevel"/>
    <w:tmpl w:val="9B523564"/>
    <w:lvl w:ilvl="0" w:tplc="A02678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950F63"/>
    <w:multiLevelType w:val="hybridMultilevel"/>
    <w:tmpl w:val="0582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E118B"/>
    <w:multiLevelType w:val="hybridMultilevel"/>
    <w:tmpl w:val="70A0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2B98"/>
    <w:multiLevelType w:val="hybridMultilevel"/>
    <w:tmpl w:val="5FD6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E5"/>
    <w:rsid w:val="00032E48"/>
    <w:rsid w:val="00046BA7"/>
    <w:rsid w:val="00047C60"/>
    <w:rsid w:val="0007039C"/>
    <w:rsid w:val="000E1E94"/>
    <w:rsid w:val="000F59E4"/>
    <w:rsid w:val="000F73B2"/>
    <w:rsid w:val="00106649"/>
    <w:rsid w:val="0011201A"/>
    <w:rsid w:val="001528C3"/>
    <w:rsid w:val="001670C4"/>
    <w:rsid w:val="001679B3"/>
    <w:rsid w:val="00171CAA"/>
    <w:rsid w:val="00191835"/>
    <w:rsid w:val="0022569F"/>
    <w:rsid w:val="00262F39"/>
    <w:rsid w:val="00290EC3"/>
    <w:rsid w:val="002D6F42"/>
    <w:rsid w:val="0032439F"/>
    <w:rsid w:val="00325D66"/>
    <w:rsid w:val="00414F41"/>
    <w:rsid w:val="0042034E"/>
    <w:rsid w:val="00435330"/>
    <w:rsid w:val="004360CC"/>
    <w:rsid w:val="004368EB"/>
    <w:rsid w:val="00471DE6"/>
    <w:rsid w:val="00486D42"/>
    <w:rsid w:val="004935A3"/>
    <w:rsid w:val="004A2C0E"/>
    <w:rsid w:val="004C2883"/>
    <w:rsid w:val="004D1341"/>
    <w:rsid w:val="004E3CF0"/>
    <w:rsid w:val="004F1778"/>
    <w:rsid w:val="0050536D"/>
    <w:rsid w:val="0054407D"/>
    <w:rsid w:val="005525E0"/>
    <w:rsid w:val="00571527"/>
    <w:rsid w:val="00660342"/>
    <w:rsid w:val="0066430B"/>
    <w:rsid w:val="00672B58"/>
    <w:rsid w:val="00676318"/>
    <w:rsid w:val="006A0291"/>
    <w:rsid w:val="006A4854"/>
    <w:rsid w:val="00710003"/>
    <w:rsid w:val="0072335A"/>
    <w:rsid w:val="00730FB4"/>
    <w:rsid w:val="00762124"/>
    <w:rsid w:val="00793642"/>
    <w:rsid w:val="007C1853"/>
    <w:rsid w:val="007E72CD"/>
    <w:rsid w:val="007F04B4"/>
    <w:rsid w:val="007F714F"/>
    <w:rsid w:val="00801BE5"/>
    <w:rsid w:val="00813E29"/>
    <w:rsid w:val="00814E93"/>
    <w:rsid w:val="00836B9D"/>
    <w:rsid w:val="008617E0"/>
    <w:rsid w:val="008A7BA0"/>
    <w:rsid w:val="008D6114"/>
    <w:rsid w:val="008E3A87"/>
    <w:rsid w:val="009015CD"/>
    <w:rsid w:val="00982898"/>
    <w:rsid w:val="009913CC"/>
    <w:rsid w:val="009C6648"/>
    <w:rsid w:val="00A005F6"/>
    <w:rsid w:val="00A4650A"/>
    <w:rsid w:val="00A503A8"/>
    <w:rsid w:val="00A63A56"/>
    <w:rsid w:val="00A6411C"/>
    <w:rsid w:val="00A855B9"/>
    <w:rsid w:val="00A95FA5"/>
    <w:rsid w:val="00AA0909"/>
    <w:rsid w:val="00AE3A65"/>
    <w:rsid w:val="00B12450"/>
    <w:rsid w:val="00BB688D"/>
    <w:rsid w:val="00BE6320"/>
    <w:rsid w:val="00C45803"/>
    <w:rsid w:val="00C66DF2"/>
    <w:rsid w:val="00C858E6"/>
    <w:rsid w:val="00CE482B"/>
    <w:rsid w:val="00D07FD8"/>
    <w:rsid w:val="00D7276D"/>
    <w:rsid w:val="00DA7B15"/>
    <w:rsid w:val="00DB4D71"/>
    <w:rsid w:val="00DF605D"/>
    <w:rsid w:val="00E11615"/>
    <w:rsid w:val="00E320D8"/>
    <w:rsid w:val="00E73734"/>
    <w:rsid w:val="00E83060"/>
    <w:rsid w:val="00EB04E0"/>
    <w:rsid w:val="00ED3A9E"/>
    <w:rsid w:val="00EE7958"/>
    <w:rsid w:val="00EF55E9"/>
    <w:rsid w:val="00EF7DAF"/>
    <w:rsid w:val="00F741CC"/>
    <w:rsid w:val="00F75DB9"/>
    <w:rsid w:val="00FB4ECC"/>
    <w:rsid w:val="00FC36F2"/>
    <w:rsid w:val="00FC380C"/>
    <w:rsid w:val="00FE40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AF9E"/>
  <w15:docId w15:val="{A8270ED9-33E8-4A34-B978-D9D14F41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BE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BE5"/>
    <w:rPr>
      <w:rFonts w:ascii="Tahoma" w:hAnsi="Tahoma" w:cs="Tahoma"/>
      <w:sz w:val="16"/>
      <w:szCs w:val="16"/>
    </w:rPr>
  </w:style>
  <w:style w:type="character" w:customStyle="1" w:styleId="BalloonTextChar">
    <w:name w:val="Balloon Text Char"/>
    <w:basedOn w:val="DefaultParagraphFont"/>
    <w:link w:val="BalloonText"/>
    <w:uiPriority w:val="99"/>
    <w:semiHidden/>
    <w:rsid w:val="00801BE5"/>
    <w:rPr>
      <w:rFonts w:ascii="Tahoma" w:eastAsia="Times New Roman" w:hAnsi="Tahoma" w:cs="Tahoma"/>
      <w:color w:val="000000"/>
      <w:kern w:val="28"/>
      <w:sz w:val="16"/>
      <w:szCs w:val="16"/>
    </w:rPr>
  </w:style>
  <w:style w:type="paragraph" w:styleId="ListParagraph">
    <w:name w:val="List Paragraph"/>
    <w:basedOn w:val="Normal"/>
    <w:uiPriority w:val="34"/>
    <w:qFormat/>
    <w:rsid w:val="008617E0"/>
    <w:pPr>
      <w:spacing w:after="200" w:line="276" w:lineRule="auto"/>
      <w:ind w:left="720"/>
      <w:contextualSpacing/>
    </w:pPr>
    <w:rPr>
      <w:rFonts w:ascii="Calibri" w:eastAsia="Calibri" w:hAnsi="Calibri"/>
      <w:color w:val="auto"/>
      <w:kern w:val="0"/>
      <w:sz w:val="22"/>
      <w:szCs w:val="22"/>
    </w:rPr>
  </w:style>
  <w:style w:type="paragraph" w:customStyle="1" w:styleId="Default">
    <w:name w:val="Default"/>
    <w:rsid w:val="008617E0"/>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471DE6"/>
    <w:rPr>
      <w:color w:val="6EAC1C" w:themeColor="hyperlink"/>
      <w:u w:val="single"/>
    </w:rPr>
  </w:style>
  <w:style w:type="character" w:styleId="CommentReference">
    <w:name w:val="annotation reference"/>
    <w:basedOn w:val="DefaultParagraphFont"/>
    <w:uiPriority w:val="99"/>
    <w:semiHidden/>
    <w:unhideWhenUsed/>
    <w:rsid w:val="00836B9D"/>
    <w:rPr>
      <w:sz w:val="16"/>
      <w:szCs w:val="16"/>
    </w:rPr>
  </w:style>
  <w:style w:type="paragraph" w:styleId="CommentText">
    <w:name w:val="annotation text"/>
    <w:basedOn w:val="Normal"/>
    <w:link w:val="CommentTextChar"/>
    <w:uiPriority w:val="99"/>
    <w:semiHidden/>
    <w:unhideWhenUsed/>
    <w:rsid w:val="00836B9D"/>
  </w:style>
  <w:style w:type="character" w:customStyle="1" w:styleId="CommentTextChar">
    <w:name w:val="Comment Text Char"/>
    <w:basedOn w:val="DefaultParagraphFont"/>
    <w:link w:val="CommentText"/>
    <w:uiPriority w:val="99"/>
    <w:semiHidden/>
    <w:rsid w:val="00836B9D"/>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836B9D"/>
    <w:rPr>
      <w:b/>
      <w:bCs/>
    </w:rPr>
  </w:style>
  <w:style w:type="character" w:customStyle="1" w:styleId="CommentSubjectChar">
    <w:name w:val="Comment Subject Char"/>
    <w:basedOn w:val="CommentTextChar"/>
    <w:link w:val="CommentSubject"/>
    <w:uiPriority w:val="99"/>
    <w:semiHidden/>
    <w:rsid w:val="00836B9D"/>
    <w:rPr>
      <w:rFonts w:ascii="Times New Roman" w:eastAsia="Times New Roman" w:hAnsi="Times New Roman"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King</dc:creator>
  <cp:lastModifiedBy>Deborah King</cp:lastModifiedBy>
  <cp:revision>4</cp:revision>
  <cp:lastPrinted>2014-11-18T18:50:00Z</cp:lastPrinted>
  <dcterms:created xsi:type="dcterms:W3CDTF">2015-10-03T19:43:00Z</dcterms:created>
  <dcterms:modified xsi:type="dcterms:W3CDTF">2015-11-24T21:08:00Z</dcterms:modified>
</cp:coreProperties>
</file>