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1" w:rsidRDefault="00055E21" w:rsidP="003D4991">
      <w:bookmarkStart w:id="0" w:name="_GoBack"/>
      <w:bookmarkEnd w:id="0"/>
      <w:r>
        <w:t xml:space="preserve">Fees Rule Change </w:t>
      </w:r>
    </w:p>
    <w:p w:rsidR="003D4991" w:rsidRDefault="003D4991" w:rsidP="003D4991"/>
    <w:p w:rsidR="003D4991" w:rsidRDefault="005B3DA2" w:rsidP="003D499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Clean</w:t>
      </w:r>
      <w:r w:rsidR="003D4991">
        <w:rPr>
          <w:rFonts w:asciiTheme="minorHAnsi" w:hAnsiTheme="minorHAnsi"/>
          <w:b/>
          <w:bCs/>
          <w:color w:val="auto"/>
          <w:sz w:val="28"/>
          <w:szCs w:val="28"/>
        </w:rPr>
        <w:t xml:space="preserve"> version of Section XII of Arkansas Appraiser Licensing and Certification Board (ALCB) Rules and Regulations </w:t>
      </w:r>
    </w:p>
    <w:p w:rsidR="003D4991" w:rsidRDefault="003D4991" w:rsidP="003D4991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3D4991" w:rsidRDefault="003D4991" w:rsidP="003D4991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Proposed rules to implement </w:t>
      </w:r>
      <w:r w:rsidR="005664E4">
        <w:rPr>
          <w:rFonts w:asciiTheme="minorHAnsi" w:hAnsiTheme="minorHAnsi"/>
          <w:b/>
          <w:bCs/>
          <w:color w:val="auto"/>
        </w:rPr>
        <w:t>ALCB Statute 17-14-203</w:t>
      </w:r>
      <w:r w:rsidR="00A82592">
        <w:rPr>
          <w:rFonts w:asciiTheme="minorHAnsi" w:hAnsiTheme="minorHAnsi"/>
          <w:b/>
          <w:bCs/>
          <w:color w:val="auto"/>
        </w:rPr>
        <w:t xml:space="preserve"> (6)</w:t>
      </w:r>
      <w:r w:rsidR="005664E4">
        <w:rPr>
          <w:rFonts w:asciiTheme="minorHAnsi" w:hAnsiTheme="minorHAnsi"/>
          <w:b/>
          <w:bCs/>
          <w:color w:val="auto"/>
        </w:rPr>
        <w:t>(E)(i)</w:t>
      </w:r>
      <w:r>
        <w:rPr>
          <w:rFonts w:asciiTheme="minorHAnsi" w:hAnsiTheme="minorHAnsi"/>
          <w:b/>
          <w:bCs/>
          <w:color w:val="auto"/>
        </w:rPr>
        <w:t xml:space="preserve">.  </w:t>
      </w:r>
      <w:r>
        <w:rPr>
          <w:rFonts w:asciiTheme="minorHAnsi" w:hAnsiTheme="minorHAnsi"/>
          <w:b/>
          <w:bCs/>
          <w:i/>
          <w:color w:val="auto"/>
        </w:rPr>
        <w:t xml:space="preserve">This pertains </w:t>
      </w:r>
      <w:r w:rsidR="005664E4">
        <w:rPr>
          <w:rFonts w:asciiTheme="minorHAnsi" w:hAnsiTheme="minorHAnsi"/>
          <w:b/>
          <w:bCs/>
          <w:i/>
          <w:color w:val="auto"/>
        </w:rPr>
        <w:t>to the pass-through fee</w:t>
      </w:r>
      <w:r w:rsidR="00EC301A">
        <w:rPr>
          <w:rFonts w:asciiTheme="minorHAnsi" w:hAnsiTheme="minorHAnsi"/>
          <w:b/>
          <w:bCs/>
          <w:i/>
          <w:color w:val="auto"/>
        </w:rPr>
        <w:t xml:space="preserve"> </w:t>
      </w:r>
      <w:r w:rsidR="005664E4">
        <w:rPr>
          <w:rFonts w:asciiTheme="minorHAnsi" w:hAnsiTheme="minorHAnsi"/>
          <w:b/>
          <w:bCs/>
          <w:i/>
          <w:color w:val="auto"/>
        </w:rPr>
        <w:t xml:space="preserve">for a </w:t>
      </w:r>
      <w:r w:rsidR="00AD0BDE">
        <w:rPr>
          <w:rFonts w:asciiTheme="minorHAnsi" w:hAnsiTheme="minorHAnsi"/>
          <w:b/>
          <w:bCs/>
          <w:i/>
          <w:color w:val="auto"/>
        </w:rPr>
        <w:t xml:space="preserve">criminal background check for </w:t>
      </w:r>
      <w:r>
        <w:rPr>
          <w:rFonts w:asciiTheme="minorHAnsi" w:hAnsiTheme="minorHAnsi"/>
          <w:b/>
          <w:bCs/>
          <w:i/>
          <w:color w:val="auto"/>
        </w:rPr>
        <w:t xml:space="preserve">applicants </w:t>
      </w:r>
      <w:r w:rsidR="00AD0BDE">
        <w:rPr>
          <w:rFonts w:asciiTheme="minorHAnsi" w:hAnsiTheme="minorHAnsi"/>
          <w:b/>
          <w:bCs/>
          <w:i/>
          <w:color w:val="auto"/>
        </w:rPr>
        <w:t xml:space="preserve">seeking </w:t>
      </w:r>
      <w:r>
        <w:rPr>
          <w:rFonts w:asciiTheme="minorHAnsi" w:hAnsiTheme="minorHAnsi"/>
          <w:b/>
          <w:bCs/>
          <w:i/>
          <w:color w:val="auto"/>
        </w:rPr>
        <w:t>an apprais</w:t>
      </w:r>
      <w:r w:rsidR="005D7A67">
        <w:rPr>
          <w:rFonts w:asciiTheme="minorHAnsi" w:hAnsiTheme="minorHAnsi"/>
          <w:b/>
          <w:bCs/>
          <w:i/>
          <w:color w:val="auto"/>
        </w:rPr>
        <w:t>er</w:t>
      </w:r>
      <w:r>
        <w:rPr>
          <w:rFonts w:asciiTheme="minorHAnsi" w:hAnsiTheme="minorHAnsi"/>
          <w:b/>
          <w:bCs/>
          <w:i/>
          <w:color w:val="auto"/>
        </w:rPr>
        <w:t xml:space="preserve"> </w:t>
      </w:r>
      <w:r w:rsidR="009B4FB4">
        <w:rPr>
          <w:rFonts w:asciiTheme="minorHAnsi" w:hAnsiTheme="minorHAnsi"/>
          <w:b/>
          <w:bCs/>
          <w:i/>
          <w:color w:val="auto"/>
        </w:rPr>
        <w:t>credential or to upgrade an existing credential</w:t>
      </w:r>
      <w:r>
        <w:rPr>
          <w:rFonts w:asciiTheme="minorHAnsi" w:hAnsiTheme="minorHAnsi"/>
          <w:b/>
          <w:bCs/>
          <w:i/>
          <w:color w:val="auto"/>
        </w:rPr>
        <w:t>.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9B4FB4">
        <w:rPr>
          <w:rFonts w:asciiTheme="minorHAnsi" w:hAnsiTheme="minorHAnsi"/>
          <w:b/>
          <w:bCs/>
          <w:color w:val="auto"/>
        </w:rPr>
        <w:t xml:space="preserve"> </w:t>
      </w:r>
      <w:proofErr w:type="gramStart"/>
      <w:r w:rsidR="009B4FB4" w:rsidRPr="009B4FB4">
        <w:rPr>
          <w:rFonts w:asciiTheme="minorHAnsi" w:hAnsiTheme="minorHAnsi"/>
          <w:b/>
          <w:bCs/>
          <w:i/>
          <w:color w:val="auto"/>
        </w:rPr>
        <w:t>And t</w:t>
      </w:r>
      <w:r w:rsidR="00CE383C" w:rsidRPr="009B4FB4">
        <w:rPr>
          <w:rFonts w:asciiTheme="minorHAnsi" w:hAnsiTheme="minorHAnsi"/>
          <w:b/>
          <w:bCs/>
          <w:i/>
          <w:color w:val="auto"/>
        </w:rPr>
        <w:t>o</w:t>
      </w:r>
      <w:r w:rsidR="00B05C27" w:rsidRPr="009B4FB4">
        <w:rPr>
          <w:rFonts w:asciiTheme="minorHAnsi" w:hAnsiTheme="minorHAnsi"/>
          <w:b/>
          <w:bCs/>
          <w:i/>
          <w:color w:val="auto"/>
        </w:rPr>
        <w:t xml:space="preserve"> correct a typographical error with respect to </w:t>
      </w:r>
      <w:r w:rsidR="009B4FB4" w:rsidRPr="009B4FB4">
        <w:rPr>
          <w:rFonts w:asciiTheme="minorHAnsi" w:hAnsiTheme="minorHAnsi"/>
          <w:b/>
          <w:bCs/>
          <w:i/>
          <w:color w:val="auto"/>
        </w:rPr>
        <w:t>Section XII – Fees and Payment of Fees A.</w:t>
      </w:r>
      <w:proofErr w:type="gramEnd"/>
      <w:r w:rsidR="009B4FB4" w:rsidRPr="009B4FB4">
        <w:rPr>
          <w:rFonts w:asciiTheme="minorHAnsi" w:hAnsiTheme="minorHAnsi"/>
          <w:b/>
          <w:bCs/>
          <w:i/>
          <w:color w:val="auto"/>
        </w:rPr>
        <w:t xml:space="preserve">  5.</w:t>
      </w:r>
      <w:r w:rsidR="009B4FB4">
        <w:rPr>
          <w:rFonts w:asciiTheme="minorHAnsi" w:hAnsiTheme="minorHAnsi"/>
          <w:b/>
          <w:bCs/>
          <w:color w:val="auto"/>
        </w:rPr>
        <w:t xml:space="preserve">  </w:t>
      </w:r>
      <w:r w:rsidR="00B05C27" w:rsidRPr="00B05C27">
        <w:rPr>
          <w:rFonts w:asciiTheme="minorHAnsi" w:hAnsiTheme="minorHAnsi"/>
          <w:b/>
          <w:bCs/>
          <w:i/>
          <w:color w:val="auto"/>
        </w:rPr>
        <w:t>Delinquent Fees</w:t>
      </w:r>
      <w:r w:rsidR="00B05C27">
        <w:rPr>
          <w:rFonts w:asciiTheme="minorHAnsi" w:hAnsiTheme="minorHAnsi"/>
          <w:b/>
          <w:bCs/>
          <w:color w:val="auto"/>
        </w:rPr>
        <w:t>.  These were r</w:t>
      </w:r>
      <w:r>
        <w:rPr>
          <w:rFonts w:asciiTheme="minorHAnsi" w:hAnsiTheme="minorHAnsi"/>
          <w:b/>
          <w:bCs/>
          <w:color w:val="auto"/>
        </w:rPr>
        <w:t>eviewed and adopted by the ALCB Rules, Regulations, and Policy Committee on</w:t>
      </w:r>
      <w:r w:rsidR="00055E21">
        <w:rPr>
          <w:rFonts w:asciiTheme="minorHAnsi" w:hAnsiTheme="minorHAnsi"/>
          <w:b/>
          <w:bCs/>
          <w:color w:val="auto"/>
        </w:rPr>
        <w:t xml:space="preserve"> </w:t>
      </w:r>
      <w:r w:rsidR="00DF3002">
        <w:rPr>
          <w:rFonts w:asciiTheme="minorHAnsi" w:hAnsiTheme="minorHAnsi"/>
          <w:b/>
          <w:bCs/>
          <w:color w:val="auto"/>
        </w:rPr>
        <w:t>August 17</w:t>
      </w:r>
      <w:r w:rsidR="00055E21">
        <w:rPr>
          <w:rFonts w:asciiTheme="minorHAnsi" w:hAnsiTheme="minorHAnsi"/>
          <w:b/>
          <w:bCs/>
          <w:color w:val="auto"/>
        </w:rPr>
        <w:t>, 2016</w:t>
      </w:r>
      <w:r>
        <w:rPr>
          <w:rFonts w:asciiTheme="minorHAnsi" w:hAnsiTheme="minorHAnsi"/>
          <w:b/>
          <w:bCs/>
          <w:color w:val="auto"/>
        </w:rPr>
        <w:t xml:space="preserve">.  </w:t>
      </w:r>
      <w:r w:rsidR="00B05C27">
        <w:rPr>
          <w:rFonts w:asciiTheme="minorHAnsi" w:hAnsiTheme="minorHAnsi"/>
          <w:b/>
          <w:bCs/>
          <w:color w:val="auto"/>
        </w:rPr>
        <w:t>They were also r</w:t>
      </w:r>
      <w:r>
        <w:rPr>
          <w:rFonts w:asciiTheme="minorHAnsi" w:hAnsiTheme="minorHAnsi"/>
          <w:b/>
          <w:bCs/>
          <w:color w:val="auto"/>
        </w:rPr>
        <w:t>eviewed and adopted by the</w:t>
      </w:r>
      <w:r w:rsidR="00055E21">
        <w:rPr>
          <w:rFonts w:asciiTheme="minorHAnsi" w:hAnsiTheme="minorHAnsi"/>
          <w:b/>
          <w:bCs/>
          <w:color w:val="auto"/>
        </w:rPr>
        <w:t xml:space="preserve"> ALCB at its regular meeting on </w:t>
      </w:r>
      <w:r w:rsidR="00DF3002">
        <w:rPr>
          <w:rFonts w:asciiTheme="minorHAnsi" w:hAnsiTheme="minorHAnsi"/>
          <w:b/>
          <w:bCs/>
          <w:color w:val="auto"/>
        </w:rPr>
        <w:t>August 17</w:t>
      </w:r>
      <w:r w:rsidR="00055E21">
        <w:rPr>
          <w:rFonts w:asciiTheme="minorHAnsi" w:hAnsiTheme="minorHAnsi"/>
          <w:b/>
          <w:bCs/>
          <w:color w:val="auto"/>
        </w:rPr>
        <w:t>, 2016</w:t>
      </w:r>
      <w:r>
        <w:rPr>
          <w:rFonts w:asciiTheme="minorHAnsi" w:hAnsiTheme="minorHAnsi"/>
          <w:b/>
          <w:bCs/>
          <w:color w:val="auto"/>
        </w:rPr>
        <w:t xml:space="preserve">.  </w:t>
      </w:r>
    </w:p>
    <w:p w:rsidR="003D4991" w:rsidRDefault="003D4991" w:rsidP="003D499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 </w:t>
      </w:r>
    </w:p>
    <w:p w:rsidR="003D4991" w:rsidRDefault="003D4991" w:rsidP="003D4991">
      <w:pPr>
        <w:pStyle w:val="Default"/>
        <w:rPr>
          <w:rFonts w:asciiTheme="minorHAnsi" w:hAnsiTheme="minorHAnsi"/>
          <w:b/>
          <w:bCs/>
          <w:szCs w:val="23"/>
        </w:rPr>
      </w:pPr>
      <w:r>
        <w:rPr>
          <w:rFonts w:asciiTheme="minorHAnsi" w:hAnsiTheme="minorHAnsi"/>
          <w:b/>
          <w:bCs/>
          <w:szCs w:val="23"/>
        </w:rPr>
        <w:t>Arkansas Appraiser Licensing and Certification Board proposed changes to its rules:</w:t>
      </w:r>
    </w:p>
    <w:p w:rsidR="003D4991" w:rsidRDefault="003D4991" w:rsidP="003D4991">
      <w:pPr>
        <w:pStyle w:val="Default"/>
        <w:rPr>
          <w:rFonts w:asciiTheme="minorHAnsi" w:hAnsiTheme="minorHAnsi"/>
          <w:b/>
          <w:bCs/>
          <w:szCs w:val="23"/>
        </w:rPr>
      </w:pPr>
    </w:p>
    <w:p w:rsidR="003D4991" w:rsidRDefault="003D4991" w:rsidP="003D4991"/>
    <w:p w:rsidR="003D4991" w:rsidRDefault="003D4991" w:rsidP="003D4991"/>
    <w:p w:rsidR="004F19F4" w:rsidRDefault="004F19F4" w:rsidP="004F19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Section XII - Fees and Payment of Fees </w:t>
      </w:r>
    </w:p>
    <w:p w:rsidR="004F19F4" w:rsidRDefault="004F19F4" w:rsidP="004F19F4">
      <w:pPr>
        <w:pStyle w:val="Default"/>
        <w:rPr>
          <w:sz w:val="23"/>
          <w:szCs w:val="23"/>
        </w:rPr>
      </w:pPr>
    </w:p>
    <w:p w:rsidR="004F19F4" w:rsidRPr="00AE541D" w:rsidRDefault="004F19F4" w:rsidP="004F19F4">
      <w:pPr>
        <w:pStyle w:val="Default"/>
        <w:rPr>
          <w:b/>
          <w:bCs/>
          <w:sz w:val="22"/>
          <w:szCs w:val="22"/>
        </w:rPr>
      </w:pPr>
      <w:r w:rsidRPr="00AE541D">
        <w:rPr>
          <w:b/>
          <w:bCs/>
          <w:sz w:val="22"/>
          <w:szCs w:val="22"/>
        </w:rPr>
        <w:t xml:space="preserve">A. Types of Fees </w:t>
      </w:r>
    </w:p>
    <w:p w:rsidR="004F19F4" w:rsidRPr="00AE541D" w:rsidRDefault="004F19F4" w:rsidP="004F19F4">
      <w:pPr>
        <w:pStyle w:val="Default"/>
        <w:rPr>
          <w:sz w:val="22"/>
          <w:szCs w:val="22"/>
        </w:rPr>
      </w:pPr>
    </w:p>
    <w:p w:rsidR="004F19F4" w:rsidRDefault="004F19F4" w:rsidP="004F19F4">
      <w:pPr>
        <w:pStyle w:val="Default"/>
        <w:rPr>
          <w:sz w:val="22"/>
          <w:szCs w:val="22"/>
        </w:rPr>
      </w:pPr>
      <w:r w:rsidRPr="00AE541D">
        <w:rPr>
          <w:sz w:val="22"/>
          <w:szCs w:val="22"/>
        </w:rPr>
        <w:t xml:space="preserve">The following fees shall be paid for pre-licensure and pre-certification applications and for the issuance of original and renewal licenses and certificates and for other purposes and activities of the Board: </w:t>
      </w:r>
    </w:p>
    <w:p w:rsidR="00AE541D" w:rsidRPr="00AE541D" w:rsidRDefault="00AE541D" w:rsidP="004F19F4">
      <w:pPr>
        <w:pStyle w:val="Default"/>
        <w:rPr>
          <w:sz w:val="22"/>
          <w:szCs w:val="22"/>
        </w:rPr>
      </w:pP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 xml:space="preserve">1. Application Fee </w:t>
      </w:r>
      <w:r w:rsidR="00AE541D" w:rsidRPr="00AE541D">
        <w:rPr>
          <w:sz w:val="22"/>
          <w:szCs w:val="22"/>
        </w:rPr>
        <w:tab/>
      </w:r>
      <w:r w:rsidRPr="00AE541D">
        <w:rPr>
          <w:sz w:val="22"/>
          <w:szCs w:val="22"/>
        </w:rPr>
        <w:t xml:space="preserve">$125.00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>2. State Licensed</w:t>
      </w:r>
      <w:r w:rsidRPr="00AE541D">
        <w:rPr>
          <w:i/>
          <w:iCs/>
          <w:sz w:val="22"/>
          <w:szCs w:val="22"/>
        </w:rPr>
        <w:t xml:space="preserve">, </w:t>
      </w:r>
      <w:r w:rsidR="00AE541D" w:rsidRPr="00AE541D">
        <w:rPr>
          <w:sz w:val="22"/>
          <w:szCs w:val="22"/>
        </w:rPr>
        <w:t xml:space="preserve">Certified </w:t>
      </w:r>
      <w:proofErr w:type="gramStart"/>
      <w:r w:rsidR="00AE541D" w:rsidRPr="00AE541D">
        <w:rPr>
          <w:sz w:val="22"/>
          <w:szCs w:val="22"/>
        </w:rPr>
        <w:t>Residential,</w:t>
      </w:r>
      <w:proofErr w:type="gramEnd"/>
      <w:r w:rsidR="00AE541D" w:rsidRPr="00AE541D">
        <w:rPr>
          <w:sz w:val="22"/>
          <w:szCs w:val="22"/>
        </w:rPr>
        <w:t xml:space="preserve"> </w:t>
      </w:r>
      <w:r w:rsidRPr="00AE541D">
        <w:rPr>
          <w:sz w:val="22"/>
          <w:szCs w:val="22"/>
        </w:rPr>
        <w:t xml:space="preserve">and Certified General Appraiser </w:t>
      </w:r>
      <w:r w:rsidR="00AE541D" w:rsidRPr="00AE541D">
        <w:rPr>
          <w:sz w:val="22"/>
          <w:szCs w:val="22"/>
        </w:rPr>
        <w:tab/>
      </w:r>
      <w:r w:rsidRPr="00AE541D">
        <w:rPr>
          <w:sz w:val="22"/>
          <w:szCs w:val="22"/>
        </w:rPr>
        <w:t xml:space="preserve">$300.00 (Annual)*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>3. Temporary Non-Resident Licensed</w:t>
      </w:r>
      <w:r w:rsidRPr="00AE541D">
        <w:rPr>
          <w:i/>
          <w:iCs/>
          <w:sz w:val="22"/>
          <w:szCs w:val="22"/>
        </w:rPr>
        <w:t xml:space="preserve">, </w:t>
      </w:r>
      <w:r w:rsidRPr="00AE541D">
        <w:rPr>
          <w:sz w:val="22"/>
          <w:szCs w:val="22"/>
        </w:rPr>
        <w:t>Certified Residential</w:t>
      </w:r>
      <w:r w:rsidRPr="00AE541D">
        <w:rPr>
          <w:i/>
          <w:iCs/>
          <w:sz w:val="22"/>
          <w:szCs w:val="22"/>
        </w:rPr>
        <w:t xml:space="preserve">,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proofErr w:type="gramStart"/>
      <w:r w:rsidRPr="00AE541D">
        <w:rPr>
          <w:sz w:val="22"/>
          <w:szCs w:val="22"/>
        </w:rPr>
        <w:t>and</w:t>
      </w:r>
      <w:proofErr w:type="gramEnd"/>
      <w:r w:rsidRPr="00AE541D">
        <w:rPr>
          <w:sz w:val="22"/>
          <w:szCs w:val="22"/>
        </w:rPr>
        <w:t xml:space="preserve"> Certified General Appraiser </w:t>
      </w:r>
      <w:r w:rsidR="00AE541D" w:rsidRPr="00AE541D">
        <w:rPr>
          <w:sz w:val="22"/>
          <w:szCs w:val="22"/>
        </w:rPr>
        <w:tab/>
      </w:r>
      <w:r w:rsidRPr="00AE541D">
        <w:rPr>
          <w:sz w:val="22"/>
          <w:szCs w:val="22"/>
        </w:rPr>
        <w:t xml:space="preserve">$150.00 (6 Months)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>4. Non-Resident Licensed, Cert</w:t>
      </w:r>
      <w:r w:rsidR="00AE541D" w:rsidRPr="00AE541D">
        <w:rPr>
          <w:sz w:val="22"/>
          <w:szCs w:val="22"/>
        </w:rPr>
        <w:t xml:space="preserve">ified Residential, </w:t>
      </w:r>
      <w:r w:rsidRPr="00AE541D">
        <w:rPr>
          <w:sz w:val="22"/>
          <w:szCs w:val="22"/>
        </w:rPr>
        <w:t>and Certified General Appraiser</w:t>
      </w:r>
      <w:r w:rsidR="00AE541D" w:rsidRPr="00AE541D">
        <w:rPr>
          <w:sz w:val="22"/>
          <w:szCs w:val="22"/>
        </w:rPr>
        <w:tab/>
      </w:r>
      <w:r w:rsidRPr="00AE541D">
        <w:rPr>
          <w:sz w:val="22"/>
          <w:szCs w:val="22"/>
        </w:rPr>
        <w:t xml:space="preserve"> $300.00 (Annual)* </w:t>
      </w:r>
    </w:p>
    <w:p w:rsidR="004F19F4" w:rsidRPr="00B05C27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B05C27">
        <w:rPr>
          <w:sz w:val="22"/>
          <w:szCs w:val="22"/>
        </w:rPr>
        <w:t xml:space="preserve">5. Delinquent Fees </w:t>
      </w:r>
      <w:r w:rsidRPr="00B05C27">
        <w:rPr>
          <w:i/>
          <w:iCs/>
          <w:sz w:val="22"/>
          <w:szCs w:val="22"/>
        </w:rPr>
        <w:t>(All Classifications)</w:t>
      </w:r>
      <w:r w:rsidR="003D7A0F" w:rsidRPr="00B05C27">
        <w:rPr>
          <w:i/>
          <w:iCs/>
          <w:sz w:val="22"/>
          <w:szCs w:val="22"/>
        </w:rPr>
        <w:tab/>
      </w:r>
      <w:r w:rsidRPr="005B3DA2">
        <w:rPr>
          <w:i/>
          <w:iCs/>
          <w:sz w:val="22"/>
          <w:szCs w:val="22"/>
        </w:rPr>
        <w:t xml:space="preserve"> </w:t>
      </w:r>
      <w:r w:rsidRPr="005B3DA2">
        <w:rPr>
          <w:sz w:val="22"/>
          <w:szCs w:val="22"/>
        </w:rPr>
        <w:t>$ 50.00 (Monthly)</w:t>
      </w:r>
      <w:r w:rsidRPr="00B05C27">
        <w:rPr>
          <w:sz w:val="22"/>
          <w:szCs w:val="22"/>
        </w:rPr>
        <w:t xml:space="preserve">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 xml:space="preserve">6. Re-issuance Fees </w:t>
      </w:r>
      <w:r w:rsidRPr="00AE541D">
        <w:rPr>
          <w:i/>
          <w:iCs/>
          <w:sz w:val="22"/>
          <w:szCs w:val="22"/>
        </w:rPr>
        <w:t xml:space="preserve">(Upgrade, Replacement of Lost, Stolen, or Destroyed </w:t>
      </w:r>
      <w:r w:rsidR="00AE541D" w:rsidRPr="00AE541D">
        <w:rPr>
          <w:i/>
          <w:iCs/>
          <w:sz w:val="22"/>
          <w:szCs w:val="22"/>
        </w:rPr>
        <w:tab/>
      </w:r>
      <w:r w:rsidRPr="00AE541D">
        <w:rPr>
          <w:sz w:val="22"/>
          <w:szCs w:val="22"/>
        </w:rPr>
        <w:t xml:space="preserve">$ 25.00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i/>
          <w:iCs/>
          <w:sz w:val="22"/>
          <w:szCs w:val="22"/>
        </w:rPr>
        <w:t xml:space="preserve">Licenses or Certificates)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1080"/>
        <w:rPr>
          <w:sz w:val="22"/>
          <w:szCs w:val="22"/>
        </w:rPr>
      </w:pPr>
      <w:r w:rsidRPr="00AE541D">
        <w:rPr>
          <w:sz w:val="22"/>
          <w:szCs w:val="22"/>
        </w:rPr>
        <w:t>7. Pre-License/Certification C</w:t>
      </w:r>
      <w:r w:rsidR="00AE541D" w:rsidRPr="00AE541D">
        <w:rPr>
          <w:sz w:val="22"/>
          <w:szCs w:val="22"/>
        </w:rPr>
        <w:t xml:space="preserve">ourse or Seminar Approval Fee </w:t>
      </w:r>
      <w:r w:rsidR="00AE541D" w:rsidRPr="00AE541D">
        <w:rPr>
          <w:sz w:val="22"/>
          <w:szCs w:val="22"/>
        </w:rPr>
        <w:tab/>
        <w:t>$</w:t>
      </w:r>
      <w:r w:rsidRPr="00AE541D">
        <w:rPr>
          <w:sz w:val="22"/>
          <w:szCs w:val="22"/>
        </w:rPr>
        <w:t xml:space="preserve">100.00 </w:t>
      </w:r>
      <w:r w:rsidRPr="00AE541D">
        <w:rPr>
          <w:sz w:val="20"/>
          <w:szCs w:val="20"/>
        </w:rPr>
        <w:t>(Per Offering)</w:t>
      </w:r>
      <w:r w:rsidRPr="00AE541D">
        <w:rPr>
          <w:sz w:val="22"/>
          <w:szCs w:val="22"/>
        </w:rPr>
        <w:t xml:space="preserve">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900"/>
        <w:rPr>
          <w:sz w:val="22"/>
          <w:szCs w:val="22"/>
        </w:rPr>
      </w:pPr>
      <w:r w:rsidRPr="00AE541D">
        <w:rPr>
          <w:sz w:val="22"/>
          <w:szCs w:val="22"/>
        </w:rPr>
        <w:t>8. Continuing Education C</w:t>
      </w:r>
      <w:r w:rsidR="00AE541D">
        <w:rPr>
          <w:sz w:val="22"/>
          <w:szCs w:val="22"/>
        </w:rPr>
        <w:t xml:space="preserve">ourse or Seminar Approval Fee </w:t>
      </w:r>
      <w:r w:rsidR="00AE541D">
        <w:rPr>
          <w:sz w:val="22"/>
          <w:szCs w:val="22"/>
        </w:rPr>
        <w:tab/>
        <w:t xml:space="preserve">  $</w:t>
      </w:r>
      <w:r w:rsidRPr="00AE541D">
        <w:rPr>
          <w:sz w:val="22"/>
          <w:szCs w:val="22"/>
        </w:rPr>
        <w:t xml:space="preserve">100.00 </w:t>
      </w:r>
      <w:r w:rsidRPr="00AE541D">
        <w:rPr>
          <w:sz w:val="20"/>
          <w:szCs w:val="20"/>
        </w:rPr>
        <w:t xml:space="preserve">(Per Offering)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 xml:space="preserve">9. Photocopies of Records of the Board </w:t>
      </w:r>
      <w:r w:rsidR="00AE541D">
        <w:rPr>
          <w:sz w:val="22"/>
          <w:szCs w:val="22"/>
        </w:rPr>
        <w:tab/>
      </w:r>
      <w:proofErr w:type="gramStart"/>
      <w:r w:rsidR="00AE541D">
        <w:rPr>
          <w:sz w:val="22"/>
          <w:szCs w:val="22"/>
        </w:rPr>
        <w:t xml:space="preserve">$  </w:t>
      </w:r>
      <w:r w:rsidRPr="00AE541D">
        <w:rPr>
          <w:sz w:val="22"/>
          <w:szCs w:val="22"/>
        </w:rPr>
        <w:t>00.05</w:t>
      </w:r>
      <w:proofErr w:type="gramEnd"/>
      <w:r w:rsidRPr="00AE541D">
        <w:rPr>
          <w:sz w:val="22"/>
          <w:szCs w:val="22"/>
        </w:rPr>
        <w:t xml:space="preserve"> (Per Page) </w:t>
      </w:r>
    </w:p>
    <w:p w:rsidR="004F19F4" w:rsidRPr="00AE541D" w:rsidRDefault="004F19F4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 xml:space="preserve">10. National Registry Fee </w:t>
      </w:r>
      <w:r w:rsidRPr="00AE541D">
        <w:rPr>
          <w:i/>
          <w:iCs/>
          <w:sz w:val="22"/>
          <w:szCs w:val="22"/>
        </w:rPr>
        <w:t xml:space="preserve">(Set By Appraisal Subcommittee) </w:t>
      </w:r>
      <w:r w:rsidR="00AE541D">
        <w:rPr>
          <w:i/>
          <w:iCs/>
          <w:sz w:val="22"/>
          <w:szCs w:val="22"/>
        </w:rPr>
        <w:tab/>
      </w:r>
      <w:proofErr w:type="gramStart"/>
      <w:r w:rsidR="00AE541D">
        <w:rPr>
          <w:sz w:val="22"/>
          <w:szCs w:val="22"/>
        </w:rPr>
        <w:t xml:space="preserve">$  </w:t>
      </w:r>
      <w:r w:rsidR="00DE487D">
        <w:rPr>
          <w:sz w:val="22"/>
          <w:szCs w:val="22"/>
        </w:rPr>
        <w:t>40.00</w:t>
      </w:r>
      <w:proofErr w:type="gramEnd"/>
      <w:r w:rsidR="00DE487D">
        <w:rPr>
          <w:sz w:val="22"/>
          <w:szCs w:val="22"/>
        </w:rPr>
        <w:t xml:space="preserve"> (Annual)</w:t>
      </w:r>
    </w:p>
    <w:p w:rsidR="00AE541D" w:rsidRPr="00AE541D" w:rsidRDefault="00AE541D" w:rsidP="00AE541D">
      <w:pPr>
        <w:pStyle w:val="Default"/>
        <w:tabs>
          <w:tab w:val="decimal" w:pos="8280"/>
        </w:tabs>
        <w:ind w:right="-720"/>
        <w:rPr>
          <w:sz w:val="22"/>
          <w:szCs w:val="22"/>
        </w:rPr>
      </w:pPr>
      <w:r w:rsidRPr="00AE541D">
        <w:rPr>
          <w:sz w:val="22"/>
          <w:szCs w:val="22"/>
        </w:rPr>
        <w:t xml:space="preserve">11. Testing Service Fee </w:t>
      </w:r>
      <w:r w:rsidRPr="00AE541D">
        <w:rPr>
          <w:i/>
          <w:iCs/>
          <w:sz w:val="22"/>
          <w:szCs w:val="22"/>
        </w:rPr>
        <w:t xml:space="preserve">(Paid Directly To </w:t>
      </w:r>
      <w:proofErr w:type="gramStart"/>
      <w:r w:rsidRPr="00AE541D">
        <w:rPr>
          <w:i/>
          <w:iCs/>
          <w:sz w:val="22"/>
          <w:szCs w:val="22"/>
        </w:rPr>
        <w:t>The</w:t>
      </w:r>
      <w:proofErr w:type="gramEnd"/>
      <w:r w:rsidRPr="00AE541D">
        <w:rPr>
          <w:i/>
          <w:iCs/>
          <w:sz w:val="22"/>
          <w:szCs w:val="22"/>
        </w:rPr>
        <w:t xml:space="preserve"> Service)</w:t>
      </w:r>
      <w:r>
        <w:rPr>
          <w:i/>
          <w:iCs/>
          <w:sz w:val="22"/>
          <w:szCs w:val="22"/>
        </w:rPr>
        <w:tab/>
      </w:r>
      <w:r w:rsidRPr="00AE541D">
        <w:rPr>
          <w:i/>
          <w:iCs/>
          <w:sz w:val="22"/>
          <w:szCs w:val="22"/>
        </w:rPr>
        <w:t xml:space="preserve"> </w:t>
      </w:r>
      <w:r w:rsidRPr="00AE541D">
        <w:rPr>
          <w:sz w:val="22"/>
          <w:szCs w:val="22"/>
        </w:rPr>
        <w:t>$100.00 (Maximum)</w:t>
      </w:r>
    </w:p>
    <w:p w:rsidR="00AE541D" w:rsidRPr="00AE541D" w:rsidRDefault="00AE541D" w:rsidP="00AE541D">
      <w:pPr>
        <w:pStyle w:val="Default"/>
        <w:tabs>
          <w:tab w:val="decimal" w:pos="8280"/>
        </w:tabs>
        <w:ind w:right="-720"/>
        <w:rPr>
          <w:color w:val="auto"/>
          <w:sz w:val="22"/>
          <w:szCs w:val="22"/>
        </w:rPr>
      </w:pPr>
      <w:r w:rsidRPr="00AE541D">
        <w:rPr>
          <w:color w:val="auto"/>
          <w:sz w:val="22"/>
          <w:szCs w:val="22"/>
        </w:rPr>
        <w:t xml:space="preserve">12. Application Fee (State Registered Appraiser) </w:t>
      </w:r>
      <w:r>
        <w:rPr>
          <w:color w:val="auto"/>
          <w:sz w:val="22"/>
          <w:szCs w:val="22"/>
        </w:rPr>
        <w:tab/>
      </w:r>
      <w:r w:rsidRPr="00AE541D">
        <w:rPr>
          <w:color w:val="auto"/>
          <w:sz w:val="22"/>
          <w:szCs w:val="22"/>
        </w:rPr>
        <w:t xml:space="preserve">$200.00* </w:t>
      </w:r>
    </w:p>
    <w:p w:rsidR="00AE541D" w:rsidRPr="00AE541D" w:rsidRDefault="00AE541D" w:rsidP="00AE541D">
      <w:pPr>
        <w:pStyle w:val="Default"/>
        <w:tabs>
          <w:tab w:val="decimal" w:pos="8280"/>
        </w:tabs>
        <w:ind w:right="-720"/>
        <w:rPr>
          <w:color w:val="auto"/>
          <w:sz w:val="22"/>
          <w:szCs w:val="22"/>
        </w:rPr>
      </w:pPr>
      <w:r w:rsidRPr="00AE541D">
        <w:rPr>
          <w:color w:val="auto"/>
          <w:sz w:val="22"/>
          <w:szCs w:val="22"/>
        </w:rPr>
        <w:t xml:space="preserve">13. Renewal Fee (State Registered Appraiser) </w:t>
      </w:r>
      <w:r>
        <w:rPr>
          <w:color w:val="auto"/>
          <w:sz w:val="22"/>
          <w:szCs w:val="22"/>
        </w:rPr>
        <w:tab/>
      </w:r>
      <w:r w:rsidRPr="00AE541D">
        <w:rPr>
          <w:color w:val="auto"/>
          <w:sz w:val="22"/>
          <w:szCs w:val="22"/>
        </w:rPr>
        <w:t xml:space="preserve">$200.00* </w:t>
      </w:r>
    </w:p>
    <w:p w:rsidR="00AE541D" w:rsidRDefault="00AE541D" w:rsidP="00AE541D">
      <w:pPr>
        <w:pStyle w:val="Default"/>
        <w:tabs>
          <w:tab w:val="decimal" w:pos="8280"/>
        </w:tabs>
        <w:ind w:right="-720"/>
        <w:rPr>
          <w:color w:val="auto"/>
          <w:sz w:val="22"/>
          <w:szCs w:val="22"/>
        </w:rPr>
      </w:pPr>
      <w:r w:rsidRPr="00AE541D">
        <w:rPr>
          <w:color w:val="auto"/>
          <w:sz w:val="22"/>
          <w:szCs w:val="22"/>
        </w:rPr>
        <w:t xml:space="preserve">14. Renewal of Continuing and Pre-License (Qualifying) Education </w:t>
      </w:r>
      <w:r>
        <w:rPr>
          <w:color w:val="auto"/>
          <w:sz w:val="22"/>
          <w:szCs w:val="22"/>
        </w:rPr>
        <w:tab/>
      </w:r>
      <w:r w:rsidRPr="00AE541D">
        <w:rPr>
          <w:color w:val="auto"/>
          <w:sz w:val="22"/>
          <w:szCs w:val="22"/>
        </w:rPr>
        <w:t xml:space="preserve">$ 50.00 </w:t>
      </w:r>
    </w:p>
    <w:p w:rsidR="00AE541D" w:rsidRPr="005B3DA2" w:rsidRDefault="00DE487D" w:rsidP="00AE541D">
      <w:pPr>
        <w:pStyle w:val="Default"/>
        <w:tabs>
          <w:tab w:val="decimal" w:pos="8280"/>
        </w:tabs>
        <w:ind w:right="-720"/>
        <w:rPr>
          <w:color w:val="auto"/>
          <w:sz w:val="22"/>
          <w:szCs w:val="22"/>
        </w:rPr>
      </w:pPr>
      <w:r w:rsidRPr="005B3DA2">
        <w:rPr>
          <w:color w:val="auto"/>
          <w:sz w:val="22"/>
          <w:szCs w:val="22"/>
        </w:rPr>
        <w:t>15. Criminal Background Check F</w:t>
      </w:r>
      <w:r w:rsidR="00AE541D" w:rsidRPr="005B3DA2">
        <w:rPr>
          <w:color w:val="auto"/>
          <w:sz w:val="22"/>
          <w:szCs w:val="22"/>
        </w:rPr>
        <w:t>ee</w:t>
      </w:r>
      <w:r w:rsidR="00AE541D" w:rsidRPr="005B3DA2">
        <w:rPr>
          <w:color w:val="auto"/>
          <w:sz w:val="22"/>
          <w:szCs w:val="22"/>
        </w:rPr>
        <w:tab/>
        <w:t>$ 37.50</w:t>
      </w:r>
    </w:p>
    <w:p w:rsidR="00AE541D" w:rsidRPr="00AE541D" w:rsidRDefault="00AE541D" w:rsidP="00AE541D">
      <w:pPr>
        <w:pStyle w:val="Default"/>
        <w:tabs>
          <w:tab w:val="decimal" w:pos="8280"/>
        </w:tabs>
        <w:ind w:right="-720"/>
        <w:rPr>
          <w:color w:val="auto"/>
          <w:sz w:val="22"/>
          <w:szCs w:val="22"/>
          <w:u w:val="single"/>
        </w:rPr>
      </w:pPr>
    </w:p>
    <w:p w:rsidR="00AE541D" w:rsidRPr="00AE541D" w:rsidRDefault="00AE541D" w:rsidP="00AE541D">
      <w:pPr>
        <w:pStyle w:val="Default"/>
        <w:tabs>
          <w:tab w:val="decimal" w:pos="8640"/>
        </w:tabs>
        <w:ind w:right="-720"/>
        <w:rPr>
          <w:color w:val="auto"/>
          <w:sz w:val="22"/>
          <w:szCs w:val="22"/>
        </w:rPr>
      </w:pPr>
      <w:r w:rsidRPr="00AE541D">
        <w:rPr>
          <w:color w:val="auto"/>
          <w:sz w:val="22"/>
          <w:szCs w:val="22"/>
        </w:rPr>
        <w:t xml:space="preserve">*Pursuant to A.C.A. 17-14-203(10), registration and licensing fees may be reviewed and adjusted annually </w:t>
      </w:r>
    </w:p>
    <w:p w:rsidR="00AE541D" w:rsidRPr="00AE541D" w:rsidRDefault="00AE541D" w:rsidP="00AE541D">
      <w:pPr>
        <w:pStyle w:val="Default"/>
        <w:tabs>
          <w:tab w:val="decimal" w:pos="8640"/>
        </w:tabs>
        <w:ind w:right="-720"/>
        <w:rPr>
          <w:b/>
          <w:bCs/>
          <w:sz w:val="22"/>
          <w:szCs w:val="22"/>
        </w:rPr>
      </w:pPr>
      <w:proofErr w:type="gramStart"/>
      <w:r w:rsidRPr="00AE541D">
        <w:rPr>
          <w:color w:val="auto"/>
          <w:sz w:val="22"/>
          <w:szCs w:val="22"/>
        </w:rPr>
        <w:t>by</w:t>
      </w:r>
      <w:proofErr w:type="gramEnd"/>
      <w:r w:rsidRPr="00AE541D">
        <w:rPr>
          <w:color w:val="auto"/>
          <w:sz w:val="22"/>
          <w:szCs w:val="22"/>
        </w:rPr>
        <w:t xml:space="preserve"> the Board as deemed necessary for its effective operation but shall in no way exceed $300 annually.</w:t>
      </w:r>
    </w:p>
    <w:p w:rsidR="00316232" w:rsidRDefault="00316232"/>
    <w:sectPr w:rsidR="0031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NLe0NLU0M7CwtDBR0lEKTi0uzszPAykwqwUAlSg//SwAAAA="/>
  </w:docVars>
  <w:rsids>
    <w:rsidRoot w:val="003D4991"/>
    <w:rsid w:val="00055E21"/>
    <w:rsid w:val="000E194D"/>
    <w:rsid w:val="00316232"/>
    <w:rsid w:val="003952DC"/>
    <w:rsid w:val="003D4991"/>
    <w:rsid w:val="003D7A0F"/>
    <w:rsid w:val="004F19F4"/>
    <w:rsid w:val="00550002"/>
    <w:rsid w:val="00551FCA"/>
    <w:rsid w:val="005664E4"/>
    <w:rsid w:val="005B3DA2"/>
    <w:rsid w:val="005D7A67"/>
    <w:rsid w:val="009B4FB4"/>
    <w:rsid w:val="00A572EF"/>
    <w:rsid w:val="00A82592"/>
    <w:rsid w:val="00AD0BDE"/>
    <w:rsid w:val="00AE541D"/>
    <w:rsid w:val="00B05C27"/>
    <w:rsid w:val="00C630CC"/>
    <w:rsid w:val="00CB1695"/>
    <w:rsid w:val="00CE383C"/>
    <w:rsid w:val="00DE487D"/>
    <w:rsid w:val="00DF3002"/>
    <w:rsid w:val="00E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9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9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Gordon</dc:creator>
  <cp:lastModifiedBy>Kelli Black</cp:lastModifiedBy>
  <cp:revision>2</cp:revision>
  <cp:lastPrinted>2016-08-22T19:54:00Z</cp:lastPrinted>
  <dcterms:created xsi:type="dcterms:W3CDTF">2017-01-04T17:07:00Z</dcterms:created>
  <dcterms:modified xsi:type="dcterms:W3CDTF">2017-01-04T17:07:00Z</dcterms:modified>
</cp:coreProperties>
</file>