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32" w:rsidRDefault="00C822CF">
      <w:r>
        <w:t xml:space="preserve">Reinstatement Rule Changes  </w:t>
      </w:r>
    </w:p>
    <w:p w:rsidR="001E6293" w:rsidRDefault="001E6293"/>
    <w:p w:rsidR="00560B12" w:rsidRPr="00850720" w:rsidRDefault="00560B12" w:rsidP="00560B12">
      <w:pPr>
        <w:pStyle w:val="Default"/>
        <w:rPr>
          <w:rFonts w:asciiTheme="minorHAnsi" w:hAnsiTheme="minorHAnsi"/>
          <w:b/>
          <w:bCs/>
          <w:color w:val="auto"/>
          <w:sz w:val="28"/>
          <w:szCs w:val="28"/>
        </w:rPr>
      </w:pPr>
      <w:r>
        <w:rPr>
          <w:rFonts w:asciiTheme="minorHAnsi" w:hAnsiTheme="minorHAnsi"/>
          <w:b/>
          <w:bCs/>
          <w:color w:val="auto"/>
          <w:sz w:val="28"/>
          <w:szCs w:val="28"/>
        </w:rPr>
        <w:t xml:space="preserve">Clean version of Section IX of </w:t>
      </w:r>
      <w:r w:rsidRPr="00850720">
        <w:rPr>
          <w:rFonts w:asciiTheme="minorHAnsi" w:hAnsiTheme="minorHAnsi"/>
          <w:b/>
          <w:bCs/>
          <w:color w:val="auto"/>
          <w:sz w:val="28"/>
          <w:szCs w:val="28"/>
        </w:rPr>
        <w:t>Arkansas Appraiser Licensing and Certification Board</w:t>
      </w:r>
      <w:r>
        <w:rPr>
          <w:rFonts w:asciiTheme="minorHAnsi" w:hAnsiTheme="minorHAnsi"/>
          <w:b/>
          <w:bCs/>
          <w:color w:val="auto"/>
          <w:sz w:val="28"/>
          <w:szCs w:val="28"/>
        </w:rPr>
        <w:t xml:space="preserve"> (AALCB) Rules and Regulations </w:t>
      </w:r>
    </w:p>
    <w:p w:rsidR="001E6293" w:rsidRPr="00850720" w:rsidRDefault="001E6293" w:rsidP="001E6293">
      <w:pPr>
        <w:pStyle w:val="Default"/>
        <w:rPr>
          <w:rFonts w:asciiTheme="minorHAnsi" w:hAnsiTheme="minorHAnsi"/>
          <w:b/>
          <w:bCs/>
          <w:color w:val="auto"/>
          <w:sz w:val="28"/>
          <w:szCs w:val="28"/>
        </w:rPr>
      </w:pPr>
    </w:p>
    <w:p w:rsidR="001E6293" w:rsidRPr="009E096B" w:rsidRDefault="00801FA5" w:rsidP="001E6293">
      <w:pPr>
        <w:pStyle w:val="Default"/>
        <w:rPr>
          <w:rFonts w:asciiTheme="minorHAnsi" w:hAnsiTheme="minorHAnsi"/>
          <w:b/>
          <w:bCs/>
          <w:color w:val="auto"/>
        </w:rPr>
      </w:pPr>
      <w:r>
        <w:rPr>
          <w:rFonts w:asciiTheme="minorHAnsi" w:hAnsiTheme="minorHAnsi"/>
          <w:b/>
          <w:bCs/>
          <w:color w:val="auto"/>
        </w:rPr>
        <w:t>These p</w:t>
      </w:r>
      <w:r w:rsidR="001E6293" w:rsidRPr="009E096B">
        <w:rPr>
          <w:rFonts w:asciiTheme="minorHAnsi" w:hAnsiTheme="minorHAnsi"/>
          <w:b/>
          <w:bCs/>
          <w:color w:val="auto"/>
        </w:rPr>
        <w:t xml:space="preserve">roposed rules </w:t>
      </w:r>
      <w:r>
        <w:rPr>
          <w:rFonts w:asciiTheme="minorHAnsi" w:hAnsiTheme="minorHAnsi"/>
          <w:b/>
          <w:bCs/>
          <w:color w:val="auto"/>
        </w:rPr>
        <w:t xml:space="preserve">are </w:t>
      </w:r>
      <w:r w:rsidR="001E6293" w:rsidRPr="009E096B">
        <w:rPr>
          <w:rFonts w:asciiTheme="minorHAnsi" w:hAnsiTheme="minorHAnsi"/>
          <w:b/>
          <w:bCs/>
          <w:color w:val="auto"/>
        </w:rPr>
        <w:t>to implement Act 1066 of the 90</w:t>
      </w:r>
      <w:r w:rsidR="001E6293" w:rsidRPr="009E096B">
        <w:rPr>
          <w:rFonts w:asciiTheme="minorHAnsi" w:hAnsiTheme="minorHAnsi"/>
          <w:b/>
          <w:bCs/>
          <w:color w:val="auto"/>
          <w:vertAlign w:val="superscript"/>
        </w:rPr>
        <w:t>th</w:t>
      </w:r>
      <w:r>
        <w:rPr>
          <w:rFonts w:asciiTheme="minorHAnsi" w:hAnsiTheme="minorHAnsi"/>
          <w:b/>
          <w:bCs/>
          <w:color w:val="auto"/>
        </w:rPr>
        <w:t xml:space="preserve"> General Assembly and to comply with the Appraiser Qualification</w:t>
      </w:r>
      <w:r w:rsidR="00EE61CF">
        <w:rPr>
          <w:rFonts w:asciiTheme="minorHAnsi" w:hAnsiTheme="minorHAnsi"/>
          <w:b/>
          <w:bCs/>
          <w:color w:val="auto"/>
        </w:rPr>
        <w:t>s</w:t>
      </w:r>
      <w:r>
        <w:rPr>
          <w:rFonts w:asciiTheme="minorHAnsi" w:hAnsiTheme="minorHAnsi"/>
          <w:b/>
          <w:bCs/>
          <w:color w:val="auto"/>
        </w:rPr>
        <w:t xml:space="preserve"> Board (AQB) reinstatement requirements.</w:t>
      </w:r>
      <w:r w:rsidR="001E6293" w:rsidRPr="009E096B">
        <w:rPr>
          <w:rFonts w:asciiTheme="minorHAnsi" w:hAnsiTheme="minorHAnsi"/>
          <w:b/>
          <w:bCs/>
          <w:color w:val="auto"/>
        </w:rPr>
        <w:t xml:space="preserve">  </w:t>
      </w:r>
      <w:r w:rsidR="001E6293" w:rsidRPr="00EA289F">
        <w:rPr>
          <w:rFonts w:asciiTheme="minorHAnsi" w:hAnsiTheme="minorHAnsi"/>
          <w:b/>
          <w:bCs/>
          <w:i/>
          <w:color w:val="auto"/>
        </w:rPr>
        <w:t>This act pertains to reinstatement of an appraiser</w:t>
      </w:r>
      <w:r w:rsidR="001E6293">
        <w:rPr>
          <w:rFonts w:asciiTheme="minorHAnsi" w:hAnsiTheme="minorHAnsi"/>
          <w:b/>
          <w:bCs/>
          <w:i/>
          <w:color w:val="auto"/>
        </w:rPr>
        <w:t>’</w:t>
      </w:r>
      <w:r w:rsidR="001E6293" w:rsidRPr="00EA289F">
        <w:rPr>
          <w:rFonts w:asciiTheme="minorHAnsi" w:hAnsiTheme="minorHAnsi"/>
          <w:b/>
          <w:bCs/>
          <w:i/>
          <w:color w:val="auto"/>
        </w:rPr>
        <w:t>s credential.</w:t>
      </w:r>
      <w:r w:rsidR="001E6293">
        <w:rPr>
          <w:rFonts w:asciiTheme="minorHAnsi" w:hAnsiTheme="minorHAnsi"/>
          <w:b/>
          <w:bCs/>
          <w:color w:val="auto"/>
        </w:rPr>
        <w:t xml:space="preserve">  </w:t>
      </w:r>
      <w:r w:rsidR="001E6293" w:rsidRPr="009E096B">
        <w:rPr>
          <w:rFonts w:asciiTheme="minorHAnsi" w:hAnsiTheme="minorHAnsi"/>
          <w:b/>
          <w:bCs/>
          <w:color w:val="auto"/>
        </w:rPr>
        <w:t>Reviewed and adopted by the ALCB Rules, Regulations, and Policy Committee on</w:t>
      </w:r>
      <w:r w:rsidR="00FF574C">
        <w:rPr>
          <w:rFonts w:asciiTheme="minorHAnsi" w:hAnsiTheme="minorHAnsi"/>
          <w:b/>
          <w:bCs/>
          <w:color w:val="auto"/>
        </w:rPr>
        <w:t xml:space="preserve"> </w:t>
      </w:r>
      <w:r w:rsidR="00EE61CF">
        <w:rPr>
          <w:rFonts w:asciiTheme="minorHAnsi" w:hAnsiTheme="minorHAnsi"/>
          <w:b/>
          <w:bCs/>
          <w:color w:val="auto"/>
        </w:rPr>
        <w:t>August 17</w:t>
      </w:r>
      <w:r w:rsidR="00FF574C">
        <w:rPr>
          <w:rFonts w:asciiTheme="minorHAnsi" w:hAnsiTheme="minorHAnsi"/>
          <w:b/>
          <w:bCs/>
          <w:color w:val="auto"/>
        </w:rPr>
        <w:t>, 2016</w:t>
      </w:r>
      <w:r w:rsidR="001E6293" w:rsidRPr="009E096B">
        <w:rPr>
          <w:rFonts w:asciiTheme="minorHAnsi" w:hAnsiTheme="minorHAnsi"/>
          <w:b/>
          <w:bCs/>
          <w:color w:val="auto"/>
        </w:rPr>
        <w:t>.  Reviewed and adopted by the ALCB at its regular meeting on</w:t>
      </w:r>
      <w:r w:rsidR="001E6293">
        <w:rPr>
          <w:rFonts w:asciiTheme="minorHAnsi" w:hAnsiTheme="minorHAnsi"/>
          <w:b/>
          <w:bCs/>
          <w:color w:val="auto"/>
        </w:rPr>
        <w:t xml:space="preserve"> </w:t>
      </w:r>
      <w:r w:rsidR="00EE61CF">
        <w:rPr>
          <w:rFonts w:asciiTheme="minorHAnsi" w:hAnsiTheme="minorHAnsi"/>
          <w:b/>
          <w:bCs/>
          <w:color w:val="auto"/>
        </w:rPr>
        <w:t>August 17, 2016</w:t>
      </w:r>
      <w:r w:rsidR="00241A07">
        <w:rPr>
          <w:rFonts w:asciiTheme="minorHAnsi" w:hAnsiTheme="minorHAnsi"/>
          <w:b/>
          <w:bCs/>
          <w:color w:val="auto"/>
        </w:rPr>
        <w:t xml:space="preserve">.  </w:t>
      </w:r>
    </w:p>
    <w:p w:rsidR="001E6293" w:rsidRDefault="001E6293" w:rsidP="001E6293">
      <w:pPr>
        <w:pStyle w:val="Default"/>
        <w:rPr>
          <w:rFonts w:asciiTheme="minorHAnsi" w:hAnsiTheme="minorHAnsi"/>
          <w:b/>
          <w:bCs/>
          <w:color w:val="auto"/>
          <w:sz w:val="22"/>
          <w:szCs w:val="22"/>
        </w:rPr>
      </w:pPr>
      <w:r w:rsidRPr="00850720">
        <w:rPr>
          <w:rFonts w:asciiTheme="minorHAnsi" w:hAnsiTheme="minorHAnsi"/>
          <w:b/>
          <w:bCs/>
          <w:color w:val="auto"/>
          <w:sz w:val="22"/>
          <w:szCs w:val="22"/>
        </w:rPr>
        <w:t xml:space="preserve">   </w:t>
      </w:r>
    </w:p>
    <w:p w:rsidR="001E6293" w:rsidRDefault="001E6293" w:rsidP="001E6293">
      <w:pPr>
        <w:pStyle w:val="Default"/>
        <w:rPr>
          <w:rFonts w:asciiTheme="minorHAnsi" w:hAnsiTheme="minorHAnsi"/>
          <w:b/>
          <w:bCs/>
          <w:szCs w:val="23"/>
        </w:rPr>
      </w:pPr>
      <w:r w:rsidRPr="009E096B">
        <w:rPr>
          <w:rFonts w:asciiTheme="minorHAnsi" w:hAnsiTheme="minorHAnsi"/>
          <w:b/>
          <w:bCs/>
          <w:szCs w:val="23"/>
        </w:rPr>
        <w:t xml:space="preserve">Arkansas Appraiser Licensing and Certification Board </w:t>
      </w:r>
      <w:r w:rsidR="006A7F4F">
        <w:rPr>
          <w:rFonts w:asciiTheme="minorHAnsi" w:hAnsiTheme="minorHAnsi"/>
          <w:b/>
          <w:bCs/>
          <w:szCs w:val="23"/>
        </w:rPr>
        <w:t>proposed changes to its rules</w:t>
      </w:r>
      <w:r w:rsidRPr="009E096B">
        <w:rPr>
          <w:rFonts w:asciiTheme="minorHAnsi" w:hAnsiTheme="minorHAnsi"/>
          <w:b/>
          <w:bCs/>
          <w:szCs w:val="23"/>
        </w:rPr>
        <w:t>:</w:t>
      </w:r>
    </w:p>
    <w:p w:rsidR="001E6293" w:rsidRPr="009E096B" w:rsidRDefault="001E6293" w:rsidP="001E6293">
      <w:pPr>
        <w:pStyle w:val="Default"/>
        <w:rPr>
          <w:rFonts w:asciiTheme="minorHAnsi" w:hAnsiTheme="minorHAnsi"/>
          <w:b/>
          <w:bCs/>
          <w:szCs w:val="23"/>
        </w:rPr>
      </w:pPr>
    </w:p>
    <w:p w:rsidR="001E6293" w:rsidRDefault="001E6293"/>
    <w:p w:rsidR="00C822CF" w:rsidRDefault="00C822CF"/>
    <w:p w:rsidR="00C822CF" w:rsidRPr="003268DB" w:rsidRDefault="00C822CF" w:rsidP="00C822CF">
      <w:pPr>
        <w:pStyle w:val="Default"/>
      </w:pPr>
      <w:r w:rsidRPr="003268DB">
        <w:rPr>
          <w:b/>
          <w:bCs/>
        </w:rPr>
        <w:t xml:space="preserve">Section I – General (Q) Complaint Adjudication and Publication of Action </w:t>
      </w:r>
    </w:p>
    <w:p w:rsidR="00C822CF" w:rsidRPr="00F40C31" w:rsidRDefault="00C822CF" w:rsidP="00F40C31">
      <w:pPr>
        <w:pStyle w:val="Default"/>
        <w:rPr>
          <w:sz w:val="22"/>
          <w:szCs w:val="22"/>
        </w:rPr>
      </w:pPr>
      <w:r>
        <w:rPr>
          <w:sz w:val="22"/>
          <w:szCs w:val="22"/>
        </w:rPr>
        <w:t xml:space="preserve">A. Any appraiser who fails to timely renew their registration, license, certification or elects to surrender their license/certification while a complaint is pending, will be unable to have their license </w:t>
      </w:r>
      <w:r w:rsidRPr="00560B12">
        <w:rPr>
          <w:noProof/>
          <w:sz w:val="22"/>
          <w:szCs w:val="22"/>
        </w:rPr>
        <w:t>re-instated</w:t>
      </w:r>
      <w:r>
        <w:rPr>
          <w:sz w:val="22"/>
          <w:szCs w:val="22"/>
        </w:rPr>
        <w:t xml:space="preserve"> until the complaint has been resolved. If a disciplinary hearing or informal conference is pending at the time of surrender, the scheduled hearings will proceed with or without the appraiser’s participation and any disciplinary action resulting from the hearing shall be placed in the appraiser’s file and addressed prior to any reinstatement of their credentials. Appraisers who have their license suspended or revoked are prohibited from performing any and all duties and responsibilities (researching data, and/or assisting </w:t>
      </w:r>
      <w:r w:rsidRPr="00560B12">
        <w:rPr>
          <w:noProof/>
          <w:sz w:val="22"/>
          <w:szCs w:val="22"/>
        </w:rPr>
        <w:t>assoc</w:t>
      </w:r>
      <w:r w:rsidR="00F40C31" w:rsidRPr="00560B12">
        <w:rPr>
          <w:noProof/>
          <w:sz w:val="22"/>
          <w:szCs w:val="22"/>
        </w:rPr>
        <w:t>iates</w:t>
      </w:r>
      <w:r w:rsidR="00F40C31">
        <w:rPr>
          <w:sz w:val="22"/>
          <w:szCs w:val="22"/>
        </w:rPr>
        <w:t xml:space="preserve"> with the development and </w:t>
      </w:r>
      <w:r>
        <w:rPr>
          <w:sz w:val="22"/>
          <w:szCs w:val="22"/>
        </w:rPr>
        <w:t>reporting of real property appraisals).</w:t>
      </w:r>
    </w:p>
    <w:p w:rsidR="00C822CF" w:rsidRDefault="00C822CF" w:rsidP="00C822CF"/>
    <w:p w:rsidR="007232BE" w:rsidRDefault="007232BE" w:rsidP="00EE31D5">
      <w:pPr>
        <w:pStyle w:val="Default"/>
        <w:rPr>
          <w:color w:val="auto"/>
          <w:sz w:val="22"/>
          <w:szCs w:val="22"/>
        </w:rPr>
      </w:pPr>
    </w:p>
    <w:p w:rsidR="00934DBA" w:rsidRPr="00560B12" w:rsidRDefault="00934DBA" w:rsidP="00934DBA">
      <w:pPr>
        <w:rPr>
          <w:rFonts w:ascii="Times New Roman" w:hAnsi="Times New Roman" w:cs="Times New Roman"/>
          <w:b/>
          <w:sz w:val="24"/>
          <w:szCs w:val="24"/>
        </w:rPr>
      </w:pPr>
      <w:r w:rsidRPr="00560B12">
        <w:rPr>
          <w:rFonts w:ascii="Times New Roman" w:hAnsi="Times New Roman" w:cs="Times New Roman"/>
          <w:b/>
          <w:sz w:val="24"/>
          <w:szCs w:val="24"/>
        </w:rPr>
        <w:t>Section IX – Credential Renewal and Reinstatement</w:t>
      </w:r>
    </w:p>
    <w:p w:rsidR="00560B12" w:rsidRPr="00C56687" w:rsidRDefault="00560B12" w:rsidP="00934DBA">
      <w:pPr>
        <w:rPr>
          <w:rFonts w:ascii="Times New Roman" w:hAnsi="Times New Roman" w:cs="Times New Roman"/>
          <w:b/>
          <w:sz w:val="24"/>
          <w:szCs w:val="24"/>
          <w:u w:val="single"/>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Appraiser credentials must be renewed each year or they will be placed on an inactive status.  Each State Licensed (SL), Certified Residential (CR) and Certified General (CG) credential renewal is June 30</w:t>
      </w:r>
      <w:r w:rsidRPr="00560B12">
        <w:rPr>
          <w:rFonts w:ascii="Times New Roman" w:hAnsi="Times New Roman" w:cs="Times New Roman"/>
          <w:vertAlign w:val="superscript"/>
        </w:rPr>
        <w:t>th</w:t>
      </w:r>
      <w:r w:rsidRPr="00560B12">
        <w:rPr>
          <w:rFonts w:ascii="Times New Roman" w:hAnsi="Times New Roman" w:cs="Times New Roman"/>
        </w:rPr>
        <w:t xml:space="preserve"> of each year.  Each State Registered (SR) credential renewal is December 31</w:t>
      </w:r>
      <w:r w:rsidRPr="00560B12">
        <w:rPr>
          <w:rFonts w:ascii="Times New Roman" w:hAnsi="Times New Roman" w:cs="Times New Roman"/>
          <w:vertAlign w:val="superscript"/>
        </w:rPr>
        <w:t>st</w:t>
      </w:r>
      <w:r w:rsidRPr="00560B12">
        <w:rPr>
          <w:rFonts w:ascii="Times New Roman" w:hAnsi="Times New Roman" w:cs="Times New Roman"/>
        </w:rPr>
        <w:t xml:space="preserve"> of each year.  </w:t>
      </w:r>
    </w:p>
    <w:p w:rsidR="005617AE" w:rsidRPr="00560B12" w:rsidRDefault="005617AE" w:rsidP="005617AE">
      <w:pPr>
        <w:pStyle w:val="ListParagraph"/>
        <w:tabs>
          <w:tab w:val="left" w:pos="270"/>
        </w:tabs>
        <w:spacing w:line="240" w:lineRule="auto"/>
        <w:ind w:left="0"/>
        <w:rPr>
          <w:rFonts w:ascii="Times New Roman" w:hAnsi="Times New Roman" w:cs="Times New Roman"/>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An application to renew a credential shall be submitted on a form obtained from the Board office or on the Board’s website.  Applicants may renew electronically through a Board established electronic process, as available.</w:t>
      </w:r>
    </w:p>
    <w:p w:rsidR="00934DBA" w:rsidRPr="00560B12" w:rsidRDefault="00934DBA" w:rsidP="00934DBA">
      <w:pPr>
        <w:pStyle w:val="ListParagraph"/>
        <w:tabs>
          <w:tab w:val="left" w:pos="270"/>
        </w:tabs>
        <w:spacing w:line="240" w:lineRule="auto"/>
        <w:ind w:left="0"/>
        <w:rPr>
          <w:rFonts w:ascii="Times New Roman" w:hAnsi="Times New Roman" w:cs="Times New Roman"/>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It is the policy of the Board to mail or send electronically a renewal notice to credential holders at the last mailing address or email address on file with the Board at least sixty (60) days prior to the expiration date of the credential.  Neither the failure of the Board to send such a notice nor the credential holder’s failure to receive such a notice shall excuse the requirement to timely renew and pay the renewal fee.  Credential holders must ensure that the address on file with the Board office is current and that the Board is notified within thirty (30) days of any mailing address or email address change.</w:t>
      </w:r>
    </w:p>
    <w:p w:rsidR="00934DBA" w:rsidRPr="00560B12" w:rsidRDefault="00934DBA" w:rsidP="00934DBA">
      <w:pPr>
        <w:pStyle w:val="ListParagraph"/>
        <w:tabs>
          <w:tab w:val="left" w:pos="270"/>
        </w:tabs>
        <w:spacing w:line="240" w:lineRule="auto"/>
        <w:ind w:left="0"/>
        <w:rPr>
          <w:rFonts w:ascii="Times New Roman" w:hAnsi="Times New Roman" w:cs="Times New Roman"/>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Credential holders shall file a timely and sufficient renewal application with the Board by the renewal date each year.  An application shall be deemed filed on the date received by the Board, the date of electronic submission or, if mailed, the date postmarked, but not the date metered.</w:t>
      </w:r>
    </w:p>
    <w:p w:rsidR="00934DBA" w:rsidRPr="00560B12" w:rsidRDefault="00934DBA" w:rsidP="00934DBA">
      <w:pPr>
        <w:pStyle w:val="ListParagraph"/>
        <w:tabs>
          <w:tab w:val="left" w:pos="270"/>
        </w:tabs>
        <w:spacing w:line="240" w:lineRule="auto"/>
        <w:ind w:left="0"/>
        <w:rPr>
          <w:rFonts w:ascii="Times New Roman" w:hAnsi="Times New Roman" w:cs="Times New Roman"/>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The Board will issue a new pocket card indicating the new expiration date after receiving evidence of completion of the required continuing education and appropriate fee.  Any credential holder who fails to complete continuing education requirements will not be eligible to renew their credential.</w:t>
      </w:r>
    </w:p>
    <w:p w:rsidR="00934DBA" w:rsidRPr="00C56687" w:rsidRDefault="00934DBA" w:rsidP="00934DBA">
      <w:pPr>
        <w:pStyle w:val="ListParagraph"/>
        <w:tabs>
          <w:tab w:val="left" w:pos="270"/>
        </w:tabs>
        <w:spacing w:line="240" w:lineRule="auto"/>
        <w:ind w:left="0"/>
        <w:rPr>
          <w:rFonts w:ascii="Times New Roman" w:hAnsi="Times New Roman" w:cs="Times New Roman"/>
          <w:u w:val="single"/>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 xml:space="preserve">The credential of </w:t>
      </w:r>
      <w:r w:rsidRPr="00560B12">
        <w:rPr>
          <w:rFonts w:ascii="Times New Roman" w:hAnsi="Times New Roman" w:cs="Times New Roman"/>
          <w:noProof/>
        </w:rPr>
        <w:t>a SR,</w:t>
      </w:r>
      <w:r w:rsidRPr="00560B12">
        <w:rPr>
          <w:rFonts w:ascii="Times New Roman" w:hAnsi="Times New Roman" w:cs="Times New Roman"/>
        </w:rPr>
        <w:t xml:space="preserve"> SL, CR and CG shall be placed on inactive status unless the appraiser submits a timely and sufficient renewal application by the expiration date.</w:t>
      </w:r>
    </w:p>
    <w:p w:rsidR="00934DBA" w:rsidRPr="00C56687" w:rsidRDefault="00934DBA" w:rsidP="00934DBA">
      <w:pPr>
        <w:pStyle w:val="ListParagraph"/>
        <w:tabs>
          <w:tab w:val="left" w:pos="270"/>
        </w:tabs>
        <w:spacing w:line="240" w:lineRule="auto"/>
        <w:ind w:left="0"/>
        <w:rPr>
          <w:rFonts w:ascii="Times New Roman" w:hAnsi="Times New Roman" w:cs="Times New Roman"/>
          <w:u w:val="single"/>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 xml:space="preserve">During the first 184 days of inactive </w:t>
      </w:r>
      <w:r w:rsidRPr="00560B12">
        <w:rPr>
          <w:rFonts w:ascii="Times New Roman" w:hAnsi="Times New Roman" w:cs="Times New Roman"/>
          <w:noProof/>
        </w:rPr>
        <w:t>status</w:t>
      </w:r>
      <w:r w:rsidRPr="00560B12">
        <w:rPr>
          <w:rFonts w:ascii="Times New Roman" w:hAnsi="Times New Roman" w:cs="Times New Roman"/>
        </w:rPr>
        <w:t xml:space="preserve"> a credential holder may renew their credential by submitting the appropriate renewal form.  This includes the payment of renewal fees, a late fee of fifty dollars ($50) per month or partial month elapsed since the renewal date and submitting the required continuing education completion certificates.  </w:t>
      </w:r>
    </w:p>
    <w:p w:rsidR="00934DBA" w:rsidRPr="00560B12" w:rsidRDefault="00934DBA" w:rsidP="00934DBA">
      <w:pPr>
        <w:pStyle w:val="ListParagraph"/>
        <w:tabs>
          <w:tab w:val="left" w:pos="270"/>
        </w:tabs>
        <w:spacing w:line="240" w:lineRule="auto"/>
        <w:ind w:left="0"/>
        <w:rPr>
          <w:rFonts w:ascii="Times New Roman" w:hAnsi="Times New Roman" w:cs="Times New Roman"/>
          <w:highlight w:val="yellow"/>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 xml:space="preserve">After 185 days up to twelve (12) months of inactive </w:t>
      </w:r>
      <w:r w:rsidRPr="00560B12">
        <w:rPr>
          <w:rFonts w:ascii="Times New Roman" w:hAnsi="Times New Roman" w:cs="Times New Roman"/>
          <w:noProof/>
        </w:rPr>
        <w:t>status</w:t>
      </w:r>
      <w:r w:rsidRPr="00560B12">
        <w:rPr>
          <w:rFonts w:ascii="Times New Roman" w:hAnsi="Times New Roman" w:cs="Times New Roman"/>
        </w:rPr>
        <w:t xml:space="preserve"> a credential holder may renew their credential by submitting the appropriate renewal form.  This includes the payment of renewal fees and submitting the required continuing education completion certificates. This includes evidence of completion of the most recent edition of a </w:t>
      </w:r>
      <w:r w:rsidRPr="00560B12">
        <w:rPr>
          <w:rFonts w:ascii="Times New Roman" w:hAnsi="Times New Roman" w:cs="Times New Roman"/>
          <w:i/>
        </w:rPr>
        <w:t xml:space="preserve">7-Hour National USPAP Update Course </w:t>
      </w:r>
      <w:r w:rsidRPr="00560B12">
        <w:rPr>
          <w:rFonts w:ascii="Times New Roman" w:hAnsi="Times New Roman" w:cs="Times New Roman"/>
        </w:rPr>
        <w:t>(or its AQB approved equivalent).</w:t>
      </w:r>
    </w:p>
    <w:p w:rsidR="00934DBA" w:rsidRPr="00560B12" w:rsidRDefault="00934DBA" w:rsidP="00934DBA">
      <w:pPr>
        <w:pStyle w:val="ListParagraph"/>
        <w:tabs>
          <w:tab w:val="left" w:pos="270"/>
        </w:tabs>
        <w:spacing w:line="240" w:lineRule="auto"/>
        <w:ind w:left="0"/>
        <w:rPr>
          <w:rFonts w:ascii="Times New Roman" w:hAnsi="Times New Roman" w:cs="Times New Roman"/>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A credential holder who fails to reinstate their appraiser credential within twelve (12) months of the expiration date of the credential may reinstate their credential by submitting the appropriate reinstatement form.  This includes payment of the appropriate renewal fee</w:t>
      </w:r>
      <w:r w:rsidR="00B92162" w:rsidRPr="00560B12">
        <w:rPr>
          <w:rFonts w:ascii="Times New Roman" w:hAnsi="Times New Roman" w:cs="Times New Roman"/>
        </w:rPr>
        <w:t xml:space="preserve"> </w:t>
      </w:r>
      <w:r w:rsidRPr="00560B12">
        <w:rPr>
          <w:rFonts w:ascii="Times New Roman" w:hAnsi="Times New Roman" w:cs="Times New Roman"/>
        </w:rPr>
        <w:t xml:space="preserve">and evidence of the completion of the required continuing education hours.  Credential holders in an inactive status must complete all required continuing education that would have been required if the credential holder was in an active status.  The required hours must also include the most recent edition of a </w:t>
      </w:r>
      <w:r w:rsidRPr="00560B12">
        <w:rPr>
          <w:rFonts w:ascii="Times New Roman" w:hAnsi="Times New Roman" w:cs="Times New Roman"/>
          <w:i/>
        </w:rPr>
        <w:t xml:space="preserve">7-Hour National USPAP Update Course </w:t>
      </w:r>
      <w:r w:rsidRPr="00560B12">
        <w:rPr>
          <w:rFonts w:ascii="Times New Roman" w:hAnsi="Times New Roman" w:cs="Times New Roman"/>
        </w:rPr>
        <w:t xml:space="preserve">(or its AQB approved equivalent).   Continuing education hours required are 14 hours per year for each year or partial year the credential was inactive plus any continuing education hours required at the time the credential was placed on inactive status.  For </w:t>
      </w:r>
      <w:r w:rsidRPr="00560B12">
        <w:rPr>
          <w:rFonts w:ascii="Times New Roman" w:hAnsi="Times New Roman" w:cs="Times New Roman"/>
          <w:noProof/>
        </w:rPr>
        <w:t>example:</w:t>
      </w:r>
      <w:r w:rsidRPr="00560B12">
        <w:rPr>
          <w:rFonts w:ascii="Times New Roman" w:hAnsi="Times New Roman" w:cs="Times New Roman"/>
        </w:rPr>
        <w:t xml:space="preserve">  Number of years inactive x 14 hours + </w:t>
      </w:r>
      <w:r w:rsidRPr="00560B12">
        <w:rPr>
          <w:rFonts w:ascii="Times New Roman" w:hAnsi="Times New Roman" w:cs="Times New Roman"/>
          <w:noProof/>
        </w:rPr>
        <w:t>number</w:t>
      </w:r>
      <w:r w:rsidRPr="00560B12">
        <w:rPr>
          <w:rFonts w:ascii="Times New Roman" w:hAnsi="Times New Roman" w:cs="Times New Roman"/>
        </w:rPr>
        <w:t xml:space="preserve"> of hours due when credential was placed on inactive status = Total number of continuing education hours that must be submitted.  Evidence of completion of the most recent edition of a </w:t>
      </w:r>
      <w:r w:rsidRPr="00560B12">
        <w:rPr>
          <w:rFonts w:ascii="Times New Roman" w:hAnsi="Times New Roman" w:cs="Times New Roman"/>
          <w:i/>
        </w:rPr>
        <w:t xml:space="preserve">7-Hour National USPAP Update Course </w:t>
      </w:r>
      <w:r w:rsidRPr="00560B12">
        <w:rPr>
          <w:rFonts w:ascii="Times New Roman" w:hAnsi="Times New Roman" w:cs="Times New Roman"/>
        </w:rPr>
        <w:t xml:space="preserve">(or its AQB approved equivalent) must be included in those hours.   </w:t>
      </w:r>
    </w:p>
    <w:p w:rsidR="00934DBA" w:rsidRPr="00560B12" w:rsidRDefault="00934DBA" w:rsidP="00934DBA">
      <w:pPr>
        <w:pStyle w:val="ListParagraph"/>
        <w:tabs>
          <w:tab w:val="left" w:pos="270"/>
        </w:tabs>
        <w:spacing w:line="240" w:lineRule="auto"/>
        <w:ind w:left="0"/>
        <w:rPr>
          <w:rFonts w:ascii="Times New Roman" w:hAnsi="Times New Roman" w:cs="Times New Roman"/>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 xml:space="preserve">After January 1, </w:t>
      </w:r>
      <w:r w:rsidRPr="00560B12">
        <w:rPr>
          <w:rFonts w:ascii="Times New Roman" w:hAnsi="Times New Roman" w:cs="Times New Roman"/>
          <w:noProof/>
        </w:rPr>
        <w:t>2017</w:t>
      </w:r>
      <w:r w:rsidRPr="00560B12">
        <w:rPr>
          <w:rFonts w:ascii="Times New Roman" w:hAnsi="Times New Roman" w:cs="Times New Roman"/>
        </w:rPr>
        <w:t xml:space="preserve"> a credential holder whose appraiser credential has been in an inactive status for more than twelve (12) months shall be</w:t>
      </w:r>
      <w:r w:rsidR="005617AE" w:rsidRPr="00560B12">
        <w:rPr>
          <w:rFonts w:ascii="Times New Roman" w:hAnsi="Times New Roman" w:cs="Times New Roman"/>
        </w:rPr>
        <w:t xml:space="preserve"> required to </w:t>
      </w:r>
      <w:r w:rsidR="00C8686A" w:rsidRPr="00560B12">
        <w:rPr>
          <w:rFonts w:ascii="Times New Roman" w:hAnsi="Times New Roman" w:cs="Times New Roman"/>
        </w:rPr>
        <w:t xml:space="preserve">consent </w:t>
      </w:r>
      <w:r w:rsidR="009A6912" w:rsidRPr="00560B12">
        <w:rPr>
          <w:rFonts w:ascii="Times New Roman" w:hAnsi="Times New Roman" w:cs="Times New Roman"/>
        </w:rPr>
        <w:t>to a background check as described below</w:t>
      </w:r>
      <w:r w:rsidRPr="00560B12">
        <w:rPr>
          <w:rFonts w:ascii="Times New Roman" w:hAnsi="Times New Roman" w:cs="Times New Roman"/>
        </w:rPr>
        <w:t>.  Prior to reinstatement the credential holder is required to obtain a state criminal background check and a national fingerprint-based criminal background check performed by the Federal Bureau of Investigation in compliance with federal law and regulation to determine if the applicant possesses a background that does not call into question public trust or the applicant’s fitness for registration, licensure, or certification.</w:t>
      </w:r>
    </w:p>
    <w:p w:rsidR="00934DBA" w:rsidRPr="00560B12" w:rsidRDefault="00934DBA" w:rsidP="00934DBA">
      <w:pPr>
        <w:pStyle w:val="ListParagraph"/>
        <w:tabs>
          <w:tab w:val="left" w:pos="270"/>
        </w:tabs>
        <w:spacing w:line="240" w:lineRule="auto"/>
        <w:ind w:left="0"/>
        <w:rPr>
          <w:rFonts w:ascii="Times New Roman" w:hAnsi="Times New Roman" w:cs="Times New Roman"/>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 xml:space="preserve">Credential holders are not authorized to practice or to hold themselves out to the public as appraisers during the period of time that </w:t>
      </w:r>
      <w:r w:rsidR="00EE61CF" w:rsidRPr="00560B12">
        <w:rPr>
          <w:rFonts w:ascii="Times New Roman" w:hAnsi="Times New Roman" w:cs="Times New Roman"/>
        </w:rPr>
        <w:t>his or her</w:t>
      </w:r>
      <w:r w:rsidRPr="00560B12">
        <w:rPr>
          <w:rFonts w:ascii="Times New Roman" w:hAnsi="Times New Roman" w:cs="Times New Roman"/>
        </w:rPr>
        <w:t xml:space="preserve"> appraiser credential is inactive.  Any violation of this shall be grounds for discipline.</w:t>
      </w:r>
    </w:p>
    <w:p w:rsidR="00934DBA" w:rsidRPr="00560B12" w:rsidRDefault="00934DBA" w:rsidP="00934DBA">
      <w:pPr>
        <w:pStyle w:val="ListParagraph"/>
        <w:tabs>
          <w:tab w:val="left" w:pos="270"/>
        </w:tabs>
        <w:spacing w:line="240" w:lineRule="auto"/>
        <w:ind w:left="0"/>
        <w:rPr>
          <w:rFonts w:ascii="Times New Roman" w:hAnsi="Times New Roman" w:cs="Times New Roman"/>
        </w:rPr>
      </w:pPr>
    </w:p>
    <w:p w:rsidR="00934DBA" w:rsidRPr="00560B12" w:rsidRDefault="00934DBA" w:rsidP="00934DBA">
      <w:pPr>
        <w:pStyle w:val="ListParagraph"/>
        <w:numPr>
          <w:ilvl w:val="0"/>
          <w:numId w:val="3"/>
        </w:numPr>
        <w:tabs>
          <w:tab w:val="left" w:pos="270"/>
        </w:tabs>
        <w:spacing w:line="240" w:lineRule="auto"/>
        <w:ind w:left="0" w:firstLine="0"/>
        <w:rPr>
          <w:rFonts w:ascii="Times New Roman" w:hAnsi="Times New Roman" w:cs="Times New Roman"/>
        </w:rPr>
      </w:pPr>
      <w:r w:rsidRPr="00560B12">
        <w:rPr>
          <w:rFonts w:ascii="Times New Roman" w:hAnsi="Times New Roman" w:cs="Times New Roman"/>
        </w:rPr>
        <w:t xml:space="preserve">These renewal and reinstatement rules do not apply to a person who has had </w:t>
      </w:r>
      <w:r w:rsidR="004B6E8C" w:rsidRPr="00560B12">
        <w:rPr>
          <w:rFonts w:ascii="Times New Roman" w:hAnsi="Times New Roman" w:cs="Times New Roman"/>
        </w:rPr>
        <w:t>his or her</w:t>
      </w:r>
      <w:r w:rsidRPr="00560B12">
        <w:rPr>
          <w:rFonts w:ascii="Times New Roman" w:hAnsi="Times New Roman" w:cs="Times New Roman"/>
        </w:rPr>
        <w:t xml:space="preserve"> appraiser credential revoked or suspended.</w:t>
      </w:r>
    </w:p>
    <w:p w:rsidR="00FF574C" w:rsidRPr="000E40A6" w:rsidRDefault="00FF574C" w:rsidP="00EE31D5">
      <w:pPr>
        <w:pStyle w:val="Default"/>
        <w:rPr>
          <w:strike/>
          <w:color w:val="auto"/>
          <w:sz w:val="22"/>
          <w:szCs w:val="22"/>
        </w:rPr>
      </w:pPr>
    </w:p>
    <w:p w:rsidR="00EE31D5" w:rsidRDefault="00EE31D5" w:rsidP="00EE31D5">
      <w:pPr>
        <w:pStyle w:val="Default"/>
        <w:rPr>
          <w:color w:val="auto"/>
          <w:sz w:val="22"/>
          <w:szCs w:val="22"/>
        </w:rPr>
      </w:pPr>
    </w:p>
    <w:p w:rsidR="00EE31D5" w:rsidRPr="003268DB" w:rsidRDefault="00EE31D5" w:rsidP="00EE31D5">
      <w:pPr>
        <w:pStyle w:val="Default"/>
      </w:pPr>
      <w:r w:rsidRPr="003268DB">
        <w:rPr>
          <w:b/>
          <w:bCs/>
        </w:rPr>
        <w:t xml:space="preserve">Section X - Continuing Education </w:t>
      </w:r>
    </w:p>
    <w:p w:rsidR="00EE31D5" w:rsidRDefault="00EE31D5" w:rsidP="00EE31D5">
      <w:pPr>
        <w:pStyle w:val="Default"/>
        <w:rPr>
          <w:sz w:val="22"/>
          <w:szCs w:val="22"/>
        </w:rPr>
      </w:pPr>
      <w:r>
        <w:rPr>
          <w:sz w:val="22"/>
          <w:szCs w:val="22"/>
        </w:rPr>
        <w:t xml:space="preserve">A. The purpose of continuing education is to </w:t>
      </w:r>
      <w:r w:rsidRPr="00560B12">
        <w:rPr>
          <w:noProof/>
          <w:sz w:val="22"/>
          <w:szCs w:val="22"/>
        </w:rPr>
        <w:t>insure</w:t>
      </w:r>
      <w:r>
        <w:rPr>
          <w:sz w:val="22"/>
          <w:szCs w:val="22"/>
        </w:rPr>
        <w:t xml:space="preserve"> that the appraiser participates in a program that maintains and increases his/her skill, knowledge and competency in real estate appraising. </w:t>
      </w:r>
    </w:p>
    <w:p w:rsidR="00EE31D5" w:rsidRDefault="00EE31D5" w:rsidP="00EE31D5">
      <w:pPr>
        <w:rPr>
          <w:rFonts w:ascii="Times New Roman" w:hAnsi="Times New Roman" w:cs="Times New Roman"/>
        </w:rPr>
      </w:pPr>
      <w:r w:rsidRPr="003268DB">
        <w:rPr>
          <w:rFonts w:ascii="Times New Roman" w:hAnsi="Times New Roman" w:cs="Times New Roman"/>
        </w:rPr>
        <w:t xml:space="preserve">B. Each licensee or certificate holder shall have completed during the </w:t>
      </w:r>
      <w:r w:rsidRPr="00560B12">
        <w:rPr>
          <w:rFonts w:ascii="Times New Roman" w:hAnsi="Times New Roman" w:cs="Times New Roman"/>
          <w:noProof/>
        </w:rPr>
        <w:t>two year</w:t>
      </w:r>
      <w:r w:rsidRPr="003268DB">
        <w:rPr>
          <w:rFonts w:ascii="Times New Roman" w:hAnsi="Times New Roman" w:cs="Times New Roman"/>
        </w:rPr>
        <w:t xml:space="preserve"> period, prior to renewal of their license or certification, in an </w:t>
      </w:r>
      <w:r w:rsidRPr="00560B12">
        <w:rPr>
          <w:rFonts w:ascii="Times New Roman" w:hAnsi="Times New Roman" w:cs="Times New Roman"/>
          <w:noProof/>
        </w:rPr>
        <w:t>even numbered</w:t>
      </w:r>
      <w:r w:rsidRPr="003268DB">
        <w:rPr>
          <w:rFonts w:ascii="Times New Roman" w:hAnsi="Times New Roman" w:cs="Times New Roman"/>
        </w:rPr>
        <w:t xml:space="preserve"> year, (i.e. 2006, 2008, etc.) a minimum of twenty-eight (28) hours of real estate appraisal instruction approved for continuing education credit by the Board. Individuals who take advantage of out of state continuing education seminars may request consideration for credit on an individual basis. They shall submit a request on forms provided by the Board along with documents outlining the course content and evidence of having attended the course.</w:t>
      </w:r>
    </w:p>
    <w:p w:rsidR="00152603" w:rsidRDefault="00152603" w:rsidP="00EE31D5">
      <w:pPr>
        <w:rPr>
          <w:rFonts w:ascii="Times New Roman" w:hAnsi="Times New Roman" w:cs="Times New Roman"/>
        </w:rPr>
      </w:pPr>
    </w:p>
    <w:p w:rsidR="00152603" w:rsidRPr="003268DB" w:rsidRDefault="00152603" w:rsidP="00152603">
      <w:pPr>
        <w:pStyle w:val="Default"/>
      </w:pPr>
      <w:r w:rsidRPr="003268DB">
        <w:rPr>
          <w:b/>
          <w:bCs/>
        </w:rPr>
        <w:t>Section XII – Fees and Payment of Fees</w:t>
      </w:r>
    </w:p>
    <w:p w:rsidR="00152603" w:rsidRDefault="00152603" w:rsidP="00152603">
      <w:pPr>
        <w:pStyle w:val="Default"/>
        <w:rPr>
          <w:sz w:val="22"/>
          <w:szCs w:val="22"/>
        </w:rPr>
      </w:pPr>
      <w:r>
        <w:rPr>
          <w:b/>
          <w:bCs/>
          <w:sz w:val="22"/>
          <w:szCs w:val="22"/>
        </w:rPr>
        <w:t xml:space="preserve">C. Delinquency Provision (Fees and Continuing Education) </w:t>
      </w:r>
    </w:p>
    <w:p w:rsidR="00152603" w:rsidRDefault="00152603" w:rsidP="00152603">
      <w:pPr>
        <w:pStyle w:val="Default"/>
        <w:rPr>
          <w:sz w:val="22"/>
          <w:szCs w:val="22"/>
        </w:rPr>
      </w:pPr>
      <w:r>
        <w:rPr>
          <w:sz w:val="22"/>
          <w:szCs w:val="22"/>
        </w:rPr>
        <w:t xml:space="preserve">Registered, Licensed or Certified </w:t>
      </w:r>
      <w:proofErr w:type="gramStart"/>
      <w:r>
        <w:rPr>
          <w:sz w:val="22"/>
          <w:szCs w:val="22"/>
        </w:rPr>
        <w:t>appraisers</w:t>
      </w:r>
      <w:proofErr w:type="gramEnd"/>
      <w:r>
        <w:rPr>
          <w:sz w:val="22"/>
          <w:szCs w:val="22"/>
        </w:rPr>
        <w:t xml:space="preserve"> who fail to pay their annual or biennial renewal fees or meet the required continuing education on or before the renewal deadline</w:t>
      </w:r>
      <w:r>
        <w:rPr>
          <w:sz w:val="23"/>
          <w:szCs w:val="23"/>
        </w:rPr>
        <w:t xml:space="preserve">, </w:t>
      </w:r>
      <w:r>
        <w:rPr>
          <w:sz w:val="22"/>
          <w:szCs w:val="22"/>
        </w:rPr>
        <w:t xml:space="preserve">shall be notified immediately that their registration, license or certificate </w:t>
      </w:r>
      <w:r w:rsidR="004B6E8C" w:rsidRPr="00BD6924">
        <w:rPr>
          <w:sz w:val="22"/>
          <w:szCs w:val="22"/>
        </w:rPr>
        <w:t>i</w:t>
      </w:r>
      <w:r w:rsidR="004B6E8C" w:rsidRPr="00560B12">
        <w:rPr>
          <w:sz w:val="22"/>
          <w:szCs w:val="22"/>
        </w:rPr>
        <w:t>s inactive</w:t>
      </w:r>
      <w:r w:rsidRPr="00560B12">
        <w:rPr>
          <w:sz w:val="22"/>
          <w:szCs w:val="22"/>
        </w:rPr>
        <w:t xml:space="preserve">. </w:t>
      </w:r>
      <w:bookmarkStart w:id="0" w:name="_GoBack"/>
      <w:bookmarkEnd w:id="0"/>
    </w:p>
    <w:p w:rsidR="00152603" w:rsidRDefault="00152603" w:rsidP="00152603">
      <w:pPr>
        <w:pStyle w:val="Default"/>
        <w:rPr>
          <w:sz w:val="22"/>
          <w:szCs w:val="22"/>
        </w:rPr>
      </w:pPr>
    </w:p>
    <w:p w:rsidR="00152603" w:rsidRDefault="00152603" w:rsidP="00152603">
      <w:pPr>
        <w:pStyle w:val="Default"/>
        <w:rPr>
          <w:sz w:val="22"/>
          <w:szCs w:val="22"/>
        </w:rPr>
      </w:pPr>
      <w:r>
        <w:rPr>
          <w:sz w:val="22"/>
          <w:szCs w:val="22"/>
        </w:rPr>
        <w:t xml:space="preserve">The notice shall also advise where applicable that: </w:t>
      </w:r>
    </w:p>
    <w:p w:rsidR="00152603" w:rsidRDefault="00152603" w:rsidP="00152603">
      <w:pPr>
        <w:pStyle w:val="Default"/>
        <w:rPr>
          <w:sz w:val="22"/>
          <w:szCs w:val="22"/>
        </w:rPr>
      </w:pPr>
      <w:r>
        <w:rPr>
          <w:sz w:val="22"/>
          <w:szCs w:val="22"/>
        </w:rPr>
        <w:t xml:space="preserve">(1) No FRT appraisal work may be performed during the interim; </w:t>
      </w:r>
    </w:p>
    <w:p w:rsidR="00152603" w:rsidRDefault="00152603" w:rsidP="00152603">
      <w:pPr>
        <w:pStyle w:val="Default"/>
        <w:rPr>
          <w:sz w:val="22"/>
          <w:szCs w:val="22"/>
        </w:rPr>
      </w:pPr>
      <w:r>
        <w:rPr>
          <w:sz w:val="22"/>
          <w:szCs w:val="22"/>
        </w:rPr>
        <w:t xml:space="preserve">(2) Their names will be removed from the Federal Registry; and, </w:t>
      </w:r>
    </w:p>
    <w:p w:rsidR="00152603" w:rsidRDefault="00152603" w:rsidP="00152603">
      <w:pPr>
        <w:pStyle w:val="Default"/>
        <w:rPr>
          <w:sz w:val="22"/>
          <w:szCs w:val="22"/>
        </w:rPr>
      </w:pPr>
      <w:r>
        <w:rPr>
          <w:sz w:val="22"/>
          <w:szCs w:val="22"/>
        </w:rPr>
        <w:t xml:space="preserve">(3) The appraisal community </w:t>
      </w:r>
      <w:r w:rsidRPr="00560B12">
        <w:rPr>
          <w:noProof/>
          <w:sz w:val="22"/>
          <w:szCs w:val="22"/>
        </w:rPr>
        <w:t>be</w:t>
      </w:r>
      <w:r>
        <w:rPr>
          <w:sz w:val="22"/>
          <w:szCs w:val="22"/>
        </w:rPr>
        <w:t xml:space="preserve"> apprised of their loss of registration or licensed status. </w:t>
      </w:r>
    </w:p>
    <w:p w:rsidR="00152603" w:rsidRDefault="00152603" w:rsidP="00152603">
      <w:pPr>
        <w:pStyle w:val="Default"/>
        <w:rPr>
          <w:sz w:val="22"/>
          <w:szCs w:val="22"/>
        </w:rPr>
      </w:pPr>
      <w:r>
        <w:rPr>
          <w:sz w:val="23"/>
          <w:szCs w:val="23"/>
        </w:rPr>
        <w:t xml:space="preserve">(4) </w:t>
      </w:r>
      <w:r>
        <w:rPr>
          <w:sz w:val="22"/>
          <w:szCs w:val="22"/>
        </w:rPr>
        <w:t xml:space="preserve">Any and all appraisal experience claimed by a trainee during a period(s) without being State Registered will not be considered toward meeting the minimum hourly requirements or in which a State Registered appraiser has a lapsed registration. </w:t>
      </w:r>
    </w:p>
    <w:p w:rsidR="00152603" w:rsidRDefault="00152603" w:rsidP="00152603">
      <w:pPr>
        <w:pStyle w:val="Default"/>
        <w:rPr>
          <w:sz w:val="22"/>
          <w:szCs w:val="22"/>
        </w:rPr>
      </w:pPr>
    </w:p>
    <w:p w:rsidR="00FF574C" w:rsidRDefault="00152603" w:rsidP="00FF574C">
      <w:pPr>
        <w:pStyle w:val="Default"/>
        <w:rPr>
          <w:strike/>
          <w:sz w:val="22"/>
          <w:szCs w:val="22"/>
        </w:rPr>
      </w:pPr>
      <w:r>
        <w:rPr>
          <w:sz w:val="22"/>
          <w:szCs w:val="22"/>
        </w:rPr>
        <w:t xml:space="preserve">If an appraiser has not made application for reinstatement within sixty days of termination, a demand will then be made on the certificate holder to surrender their seal or stamp, pocket card, and wall certificate, to the Board office. </w:t>
      </w:r>
    </w:p>
    <w:p w:rsidR="00FF574C" w:rsidRPr="00FF574C" w:rsidRDefault="00FF574C" w:rsidP="00FF574C">
      <w:pPr>
        <w:pStyle w:val="Default"/>
        <w:jc w:val="center"/>
        <w:rPr>
          <w:color w:val="auto"/>
          <w:sz w:val="22"/>
          <w:szCs w:val="22"/>
        </w:rPr>
      </w:pPr>
      <w:r>
        <w:rPr>
          <w:color w:val="auto"/>
          <w:sz w:val="22"/>
          <w:szCs w:val="22"/>
        </w:rPr>
        <w:t>* * *</w:t>
      </w:r>
    </w:p>
    <w:sectPr w:rsidR="00FF574C" w:rsidRPr="00FF574C" w:rsidSect="00241A07">
      <w:headerReference w:type="default" r:id="rId8"/>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30" w:rsidRDefault="00DD1B30" w:rsidP="00241A07">
      <w:r>
        <w:separator/>
      </w:r>
    </w:p>
  </w:endnote>
  <w:endnote w:type="continuationSeparator" w:id="0">
    <w:p w:rsidR="00DD1B30" w:rsidRDefault="00DD1B30" w:rsidP="0024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30" w:rsidRDefault="00DD1B30" w:rsidP="00241A07">
      <w:r>
        <w:separator/>
      </w:r>
    </w:p>
  </w:footnote>
  <w:footnote w:type="continuationSeparator" w:id="0">
    <w:p w:rsidR="00DD1B30" w:rsidRDefault="00DD1B30" w:rsidP="0024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07" w:rsidRDefault="00241A07">
    <w:pPr>
      <w:pStyle w:val="Header"/>
    </w:pPr>
  </w:p>
  <w:p w:rsidR="00241A07" w:rsidRDefault="00241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3DA"/>
    <w:multiLevelType w:val="hybridMultilevel"/>
    <w:tmpl w:val="AD5290BA"/>
    <w:lvl w:ilvl="0" w:tplc="F904BD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4301E"/>
    <w:multiLevelType w:val="hybridMultilevel"/>
    <w:tmpl w:val="3ACE6D8E"/>
    <w:lvl w:ilvl="0" w:tplc="23AE5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557F8"/>
    <w:multiLevelType w:val="hybridMultilevel"/>
    <w:tmpl w:val="13120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D2275"/>
    <w:multiLevelType w:val="hybridMultilevel"/>
    <w:tmpl w:val="05AE20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364B3"/>
    <w:multiLevelType w:val="hybridMultilevel"/>
    <w:tmpl w:val="C7B4F6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wNjY2sDA1MTUwNjRT0lEKTi0uzszPAykwqQUA9YLCsCwAAAA="/>
  </w:docVars>
  <w:rsids>
    <w:rsidRoot w:val="00C822CF"/>
    <w:rsid w:val="00021CF7"/>
    <w:rsid w:val="000E40A6"/>
    <w:rsid w:val="00136606"/>
    <w:rsid w:val="00152603"/>
    <w:rsid w:val="001E6293"/>
    <w:rsid w:val="00241A07"/>
    <w:rsid w:val="002A07F1"/>
    <w:rsid w:val="00316232"/>
    <w:rsid w:val="003268DB"/>
    <w:rsid w:val="004B6E8C"/>
    <w:rsid w:val="00523730"/>
    <w:rsid w:val="00560B12"/>
    <w:rsid w:val="005617AE"/>
    <w:rsid w:val="006A7F4F"/>
    <w:rsid w:val="007232BE"/>
    <w:rsid w:val="007C4CAF"/>
    <w:rsid w:val="00801FA5"/>
    <w:rsid w:val="0088472C"/>
    <w:rsid w:val="008D6784"/>
    <w:rsid w:val="00934DBA"/>
    <w:rsid w:val="009A6912"/>
    <w:rsid w:val="00B92162"/>
    <w:rsid w:val="00BD6924"/>
    <w:rsid w:val="00C56687"/>
    <w:rsid w:val="00C822CF"/>
    <w:rsid w:val="00C8686A"/>
    <w:rsid w:val="00DD1B30"/>
    <w:rsid w:val="00EE31D5"/>
    <w:rsid w:val="00EE61CF"/>
    <w:rsid w:val="00F40C3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2C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1A07"/>
    <w:pPr>
      <w:tabs>
        <w:tab w:val="center" w:pos="4680"/>
        <w:tab w:val="right" w:pos="9360"/>
      </w:tabs>
    </w:pPr>
  </w:style>
  <w:style w:type="character" w:customStyle="1" w:styleId="HeaderChar">
    <w:name w:val="Header Char"/>
    <w:basedOn w:val="DefaultParagraphFont"/>
    <w:link w:val="Header"/>
    <w:uiPriority w:val="99"/>
    <w:rsid w:val="00241A07"/>
  </w:style>
  <w:style w:type="paragraph" w:styleId="Footer">
    <w:name w:val="footer"/>
    <w:basedOn w:val="Normal"/>
    <w:link w:val="FooterChar"/>
    <w:uiPriority w:val="99"/>
    <w:unhideWhenUsed/>
    <w:rsid w:val="00241A07"/>
    <w:pPr>
      <w:tabs>
        <w:tab w:val="center" w:pos="4680"/>
        <w:tab w:val="right" w:pos="9360"/>
      </w:tabs>
    </w:pPr>
  </w:style>
  <w:style w:type="character" w:customStyle="1" w:styleId="FooterChar">
    <w:name w:val="Footer Char"/>
    <w:basedOn w:val="DefaultParagraphFont"/>
    <w:link w:val="Footer"/>
    <w:uiPriority w:val="99"/>
    <w:rsid w:val="00241A07"/>
  </w:style>
  <w:style w:type="paragraph" w:styleId="BalloonText">
    <w:name w:val="Balloon Text"/>
    <w:basedOn w:val="Normal"/>
    <w:link w:val="BalloonTextChar"/>
    <w:uiPriority w:val="99"/>
    <w:semiHidden/>
    <w:unhideWhenUsed/>
    <w:rsid w:val="00241A07"/>
    <w:rPr>
      <w:rFonts w:ascii="Tahoma" w:hAnsi="Tahoma" w:cs="Tahoma"/>
      <w:sz w:val="16"/>
      <w:szCs w:val="16"/>
    </w:rPr>
  </w:style>
  <w:style w:type="character" w:customStyle="1" w:styleId="BalloonTextChar">
    <w:name w:val="Balloon Text Char"/>
    <w:basedOn w:val="DefaultParagraphFont"/>
    <w:link w:val="BalloonText"/>
    <w:uiPriority w:val="99"/>
    <w:semiHidden/>
    <w:rsid w:val="00241A07"/>
    <w:rPr>
      <w:rFonts w:ascii="Tahoma" w:hAnsi="Tahoma" w:cs="Tahoma"/>
      <w:sz w:val="16"/>
      <w:szCs w:val="16"/>
    </w:rPr>
  </w:style>
  <w:style w:type="paragraph" w:styleId="ListParagraph">
    <w:name w:val="List Paragraph"/>
    <w:basedOn w:val="Normal"/>
    <w:uiPriority w:val="34"/>
    <w:qFormat/>
    <w:rsid w:val="00934DB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2C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1A07"/>
    <w:pPr>
      <w:tabs>
        <w:tab w:val="center" w:pos="4680"/>
        <w:tab w:val="right" w:pos="9360"/>
      </w:tabs>
    </w:pPr>
  </w:style>
  <w:style w:type="character" w:customStyle="1" w:styleId="HeaderChar">
    <w:name w:val="Header Char"/>
    <w:basedOn w:val="DefaultParagraphFont"/>
    <w:link w:val="Header"/>
    <w:uiPriority w:val="99"/>
    <w:rsid w:val="00241A07"/>
  </w:style>
  <w:style w:type="paragraph" w:styleId="Footer">
    <w:name w:val="footer"/>
    <w:basedOn w:val="Normal"/>
    <w:link w:val="FooterChar"/>
    <w:uiPriority w:val="99"/>
    <w:unhideWhenUsed/>
    <w:rsid w:val="00241A07"/>
    <w:pPr>
      <w:tabs>
        <w:tab w:val="center" w:pos="4680"/>
        <w:tab w:val="right" w:pos="9360"/>
      </w:tabs>
    </w:pPr>
  </w:style>
  <w:style w:type="character" w:customStyle="1" w:styleId="FooterChar">
    <w:name w:val="Footer Char"/>
    <w:basedOn w:val="DefaultParagraphFont"/>
    <w:link w:val="Footer"/>
    <w:uiPriority w:val="99"/>
    <w:rsid w:val="00241A07"/>
  </w:style>
  <w:style w:type="paragraph" w:styleId="BalloonText">
    <w:name w:val="Balloon Text"/>
    <w:basedOn w:val="Normal"/>
    <w:link w:val="BalloonTextChar"/>
    <w:uiPriority w:val="99"/>
    <w:semiHidden/>
    <w:unhideWhenUsed/>
    <w:rsid w:val="00241A07"/>
    <w:rPr>
      <w:rFonts w:ascii="Tahoma" w:hAnsi="Tahoma" w:cs="Tahoma"/>
      <w:sz w:val="16"/>
      <w:szCs w:val="16"/>
    </w:rPr>
  </w:style>
  <w:style w:type="character" w:customStyle="1" w:styleId="BalloonTextChar">
    <w:name w:val="Balloon Text Char"/>
    <w:basedOn w:val="DefaultParagraphFont"/>
    <w:link w:val="BalloonText"/>
    <w:uiPriority w:val="99"/>
    <w:semiHidden/>
    <w:rsid w:val="00241A07"/>
    <w:rPr>
      <w:rFonts w:ascii="Tahoma" w:hAnsi="Tahoma" w:cs="Tahoma"/>
      <w:sz w:val="16"/>
      <w:szCs w:val="16"/>
    </w:rPr>
  </w:style>
  <w:style w:type="paragraph" w:styleId="ListParagraph">
    <w:name w:val="List Paragraph"/>
    <w:basedOn w:val="Normal"/>
    <w:uiPriority w:val="34"/>
    <w:qFormat/>
    <w:rsid w:val="00934D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Gordon</dc:creator>
  <cp:lastModifiedBy>Diana Piechocki</cp:lastModifiedBy>
  <cp:revision>2</cp:revision>
  <cp:lastPrinted>2016-08-22T18:33:00Z</cp:lastPrinted>
  <dcterms:created xsi:type="dcterms:W3CDTF">2016-08-22T19:11:00Z</dcterms:created>
  <dcterms:modified xsi:type="dcterms:W3CDTF">2016-08-22T19:11:00Z</dcterms:modified>
</cp:coreProperties>
</file>